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98F92" w14:textId="2DB5C0EB" w:rsidR="002E51E5" w:rsidRDefault="001E2063">
      <w:pPr>
        <w:jc w:val="center"/>
        <w:rPr>
          <w:rFonts w:ascii="宋体" w:hAnsi="宋体"/>
          <w:b/>
          <w:bCs/>
          <w:sz w:val="44"/>
          <w:szCs w:val="44"/>
        </w:rPr>
      </w:pPr>
      <w:r>
        <w:rPr>
          <w:rFonts w:ascii="宋体" w:hAnsi="宋体" w:hint="eastAsia"/>
          <w:b/>
          <w:bCs/>
          <w:sz w:val="44"/>
          <w:szCs w:val="44"/>
        </w:rPr>
        <w:t>广东省医院药学研究基金——呼吸系统疾病医药</w:t>
      </w:r>
      <w:bookmarkStart w:id="0" w:name="_GoBack"/>
      <w:bookmarkEnd w:id="0"/>
      <w:r w:rsidR="00D010B6">
        <w:rPr>
          <w:rFonts w:ascii="宋体" w:hAnsi="宋体" w:hint="eastAsia"/>
          <w:b/>
          <w:bCs/>
          <w:sz w:val="44"/>
          <w:szCs w:val="44"/>
        </w:rPr>
        <w:t>共管</w:t>
      </w:r>
      <w:r>
        <w:rPr>
          <w:rFonts w:ascii="宋体" w:hAnsi="宋体" w:hint="eastAsia"/>
          <w:b/>
          <w:bCs/>
          <w:sz w:val="44"/>
          <w:szCs w:val="44"/>
        </w:rPr>
        <w:t>研究基金（众生基金）工作方案</w:t>
      </w:r>
    </w:p>
    <w:p w14:paraId="35AD5A7A" w14:textId="77777777" w:rsidR="002E51E5" w:rsidRDefault="002E51E5">
      <w:pPr>
        <w:spacing w:line="540" w:lineRule="exact"/>
        <w:rPr>
          <w:rFonts w:ascii="仿宋" w:eastAsia="仿宋" w:hAnsi="仿宋"/>
          <w:b/>
          <w:bCs/>
          <w:sz w:val="28"/>
          <w:szCs w:val="28"/>
        </w:rPr>
      </w:pPr>
    </w:p>
    <w:p w14:paraId="38BEBB98" w14:textId="77777777" w:rsidR="002E51E5" w:rsidRDefault="001E2063">
      <w:pPr>
        <w:spacing w:line="500" w:lineRule="exact"/>
        <w:rPr>
          <w:rFonts w:ascii="仿宋" w:eastAsia="仿宋" w:hAnsi="仿宋"/>
          <w:b/>
          <w:snapToGrid w:val="0"/>
          <w:sz w:val="28"/>
          <w:szCs w:val="28"/>
        </w:rPr>
      </w:pPr>
      <w:r>
        <w:rPr>
          <w:rFonts w:ascii="仿宋" w:eastAsia="仿宋" w:hAnsi="仿宋" w:hint="eastAsia"/>
          <w:b/>
          <w:snapToGrid w:val="0"/>
          <w:sz w:val="28"/>
          <w:szCs w:val="28"/>
        </w:rPr>
        <w:t>1.  宗旨</w:t>
      </w:r>
    </w:p>
    <w:p w14:paraId="1A2EE6CB" w14:textId="0814599F" w:rsidR="002E51E5" w:rsidRDefault="001E2063">
      <w:pPr>
        <w:spacing w:line="500" w:lineRule="exact"/>
        <w:rPr>
          <w:rFonts w:ascii="仿宋" w:eastAsia="仿宋" w:hAnsi="仿宋"/>
          <w:snapToGrid w:val="0"/>
          <w:sz w:val="28"/>
          <w:szCs w:val="28"/>
        </w:rPr>
      </w:pPr>
      <w:r>
        <w:rPr>
          <w:rFonts w:ascii="仿宋" w:eastAsia="仿宋" w:hAnsi="仿宋" w:hint="eastAsia"/>
          <w:snapToGrid w:val="0"/>
          <w:sz w:val="28"/>
          <w:szCs w:val="28"/>
        </w:rPr>
        <w:t>广东省医院药学研究基金--呼吸系统疾病医药</w:t>
      </w:r>
      <w:r w:rsidR="00D010B6">
        <w:rPr>
          <w:rFonts w:ascii="仿宋" w:eastAsia="仿宋" w:hAnsi="仿宋" w:hint="eastAsia"/>
          <w:snapToGrid w:val="0"/>
          <w:sz w:val="28"/>
          <w:szCs w:val="28"/>
        </w:rPr>
        <w:t>共管</w:t>
      </w:r>
      <w:r>
        <w:rPr>
          <w:rFonts w:ascii="仿宋" w:eastAsia="仿宋" w:hAnsi="仿宋" w:hint="eastAsia"/>
          <w:snapToGrid w:val="0"/>
          <w:sz w:val="28"/>
          <w:szCs w:val="28"/>
        </w:rPr>
        <w:t>研究基金的宗旨为：推动广东省医院药学及相关领域科研及临床的发展，为广大医院药师创造学术交流及科研机会，提高广东省医院临床用药学科建设，优化临床合理用药，降低治疗成本，推动医疗资源合理使用。</w:t>
      </w:r>
    </w:p>
    <w:p w14:paraId="2BAB09B7" w14:textId="77777777" w:rsidR="002E51E5" w:rsidRDefault="002E51E5">
      <w:pPr>
        <w:spacing w:line="500" w:lineRule="exact"/>
        <w:rPr>
          <w:rFonts w:ascii="仿宋" w:eastAsia="仿宋" w:hAnsi="仿宋"/>
          <w:snapToGrid w:val="0"/>
          <w:sz w:val="28"/>
          <w:szCs w:val="28"/>
        </w:rPr>
      </w:pPr>
    </w:p>
    <w:p w14:paraId="733B4820" w14:textId="77777777" w:rsidR="002E51E5" w:rsidRDefault="001E2063">
      <w:pPr>
        <w:spacing w:line="500" w:lineRule="exact"/>
        <w:rPr>
          <w:rFonts w:ascii="仿宋" w:eastAsia="仿宋" w:hAnsi="仿宋"/>
          <w:b/>
          <w:snapToGrid w:val="0"/>
          <w:sz w:val="28"/>
          <w:szCs w:val="28"/>
        </w:rPr>
      </w:pPr>
      <w:r>
        <w:rPr>
          <w:rFonts w:ascii="仿宋" w:eastAsia="仿宋" w:hAnsi="仿宋" w:hint="eastAsia"/>
          <w:b/>
          <w:snapToGrid w:val="0"/>
          <w:sz w:val="28"/>
          <w:szCs w:val="28"/>
        </w:rPr>
        <w:t>2.  委员会组成</w:t>
      </w:r>
    </w:p>
    <w:p w14:paraId="6DE06561" w14:textId="77777777" w:rsidR="002E51E5" w:rsidRDefault="001E2063">
      <w:pPr>
        <w:spacing w:line="500" w:lineRule="exact"/>
        <w:rPr>
          <w:rFonts w:ascii="仿宋" w:eastAsia="仿宋" w:hAnsi="仿宋"/>
          <w:snapToGrid w:val="0"/>
          <w:sz w:val="28"/>
          <w:szCs w:val="28"/>
        </w:rPr>
      </w:pPr>
      <w:r>
        <w:rPr>
          <w:rFonts w:ascii="仿宋" w:eastAsia="仿宋" w:hAnsi="仿宋" w:hint="eastAsia"/>
          <w:snapToGrid w:val="0"/>
          <w:sz w:val="28"/>
          <w:szCs w:val="28"/>
        </w:rPr>
        <w:t>广东省医院药学研究基金评审委员会（以下简称“评委会”）由广东省药学会相关专业委员会成员及三甲医院临床或药学专家等具有高级技术职称的人员组成。</w:t>
      </w:r>
    </w:p>
    <w:p w14:paraId="30B6C7F7" w14:textId="77777777" w:rsidR="002E51E5" w:rsidRDefault="002E51E5">
      <w:pPr>
        <w:spacing w:line="500" w:lineRule="exact"/>
        <w:rPr>
          <w:rFonts w:ascii="仿宋" w:eastAsia="仿宋" w:hAnsi="仿宋"/>
          <w:snapToGrid w:val="0"/>
          <w:sz w:val="28"/>
          <w:szCs w:val="28"/>
        </w:rPr>
      </w:pPr>
    </w:p>
    <w:p w14:paraId="4D102770" w14:textId="77777777" w:rsidR="002E51E5" w:rsidRDefault="001E2063">
      <w:pPr>
        <w:spacing w:line="500" w:lineRule="exact"/>
        <w:rPr>
          <w:rFonts w:ascii="仿宋" w:eastAsia="仿宋" w:hAnsi="仿宋"/>
          <w:b/>
          <w:snapToGrid w:val="0"/>
          <w:sz w:val="28"/>
          <w:szCs w:val="28"/>
        </w:rPr>
      </w:pPr>
      <w:r>
        <w:rPr>
          <w:rFonts w:ascii="仿宋" w:eastAsia="仿宋" w:hAnsi="仿宋" w:hint="eastAsia"/>
          <w:b/>
          <w:snapToGrid w:val="0"/>
          <w:sz w:val="28"/>
          <w:szCs w:val="28"/>
        </w:rPr>
        <w:t>3．基金申报运行流程</w:t>
      </w:r>
    </w:p>
    <w:p w14:paraId="5FF348B1" w14:textId="468C599A" w:rsidR="002E51E5" w:rsidRDefault="001E2063">
      <w:pPr>
        <w:spacing w:line="500" w:lineRule="exact"/>
        <w:rPr>
          <w:rFonts w:ascii="仿宋" w:eastAsia="仿宋" w:hAnsi="仿宋"/>
          <w:snapToGrid w:val="0"/>
          <w:color w:val="000000"/>
          <w:sz w:val="28"/>
          <w:szCs w:val="28"/>
        </w:rPr>
      </w:pPr>
      <w:r>
        <w:rPr>
          <w:rFonts w:ascii="仿宋" w:eastAsia="仿宋" w:hAnsi="仿宋" w:hint="eastAsia"/>
          <w:snapToGrid w:val="0"/>
          <w:sz w:val="28"/>
          <w:szCs w:val="28"/>
        </w:rPr>
        <w:t xml:space="preserve">3.1  </w:t>
      </w:r>
      <w:r>
        <w:rPr>
          <w:rFonts w:ascii="仿宋" w:eastAsia="仿宋" w:hAnsi="仿宋" w:hint="eastAsia"/>
          <w:snapToGrid w:val="0"/>
          <w:color w:val="000000"/>
          <w:sz w:val="28"/>
          <w:szCs w:val="28"/>
        </w:rPr>
        <w:t>项目方向：医</w:t>
      </w:r>
      <w:r>
        <w:rPr>
          <w:rFonts w:ascii="仿宋" w:eastAsia="仿宋" w:hAnsi="仿宋" w:hint="eastAsia"/>
          <w:snapToGrid w:val="0"/>
          <w:sz w:val="28"/>
          <w:szCs w:val="28"/>
        </w:rPr>
        <w:t>院呼吸系统疾病医药</w:t>
      </w:r>
      <w:r w:rsidR="00D010B6">
        <w:rPr>
          <w:rFonts w:ascii="仿宋" w:eastAsia="仿宋" w:hAnsi="仿宋" w:hint="eastAsia"/>
          <w:snapToGrid w:val="0"/>
          <w:sz w:val="28"/>
          <w:szCs w:val="28"/>
        </w:rPr>
        <w:t>共管</w:t>
      </w:r>
      <w:r>
        <w:rPr>
          <w:rFonts w:ascii="仿宋" w:eastAsia="仿宋" w:hAnsi="仿宋" w:hint="eastAsia"/>
          <w:snapToGrid w:val="0"/>
          <w:color w:val="000000"/>
          <w:sz w:val="28"/>
          <w:szCs w:val="28"/>
        </w:rPr>
        <w:t>有关研究方向。</w:t>
      </w:r>
    </w:p>
    <w:p w14:paraId="4F36E7FD" w14:textId="77777777" w:rsidR="002E51E5" w:rsidRDefault="001E2063">
      <w:pPr>
        <w:spacing w:line="500" w:lineRule="exact"/>
        <w:rPr>
          <w:rFonts w:ascii="仿宋" w:eastAsia="仿宋" w:hAnsi="仿宋"/>
          <w:snapToGrid w:val="0"/>
          <w:sz w:val="28"/>
          <w:szCs w:val="28"/>
        </w:rPr>
      </w:pPr>
      <w:r>
        <w:rPr>
          <w:rFonts w:ascii="仿宋" w:eastAsia="仿宋" w:hAnsi="仿宋" w:hint="eastAsia"/>
          <w:snapToGrid w:val="0"/>
          <w:sz w:val="28"/>
          <w:szCs w:val="28"/>
        </w:rPr>
        <w:t xml:space="preserve">3.2 </w:t>
      </w:r>
      <w:r>
        <w:rPr>
          <w:rFonts w:ascii="仿宋" w:eastAsia="仿宋" w:hAnsi="仿宋"/>
          <w:snapToGrid w:val="0"/>
          <w:sz w:val="28"/>
          <w:szCs w:val="28"/>
        </w:rPr>
        <w:t xml:space="preserve"> </w:t>
      </w:r>
      <w:r>
        <w:rPr>
          <w:rFonts w:ascii="仿宋" w:eastAsia="仿宋" w:hAnsi="仿宋" w:hint="eastAsia"/>
          <w:snapToGrid w:val="0"/>
          <w:sz w:val="28"/>
          <w:szCs w:val="28"/>
        </w:rPr>
        <w:t>项目：22个课题，其中资助经费5</w:t>
      </w:r>
      <w:r>
        <w:rPr>
          <w:rFonts w:ascii="仿宋" w:eastAsia="仿宋" w:hAnsi="仿宋"/>
          <w:snapToGrid w:val="0"/>
          <w:sz w:val="28"/>
          <w:szCs w:val="28"/>
        </w:rPr>
        <w:t>0</w:t>
      </w:r>
      <w:r>
        <w:rPr>
          <w:rFonts w:ascii="仿宋" w:eastAsia="仿宋" w:hAnsi="仿宋" w:hint="eastAsia"/>
          <w:snapToGrid w:val="0"/>
          <w:sz w:val="28"/>
          <w:szCs w:val="28"/>
        </w:rPr>
        <w:t>000元的3个、3</w:t>
      </w:r>
      <w:r>
        <w:rPr>
          <w:rFonts w:ascii="仿宋" w:eastAsia="仿宋" w:hAnsi="仿宋"/>
          <w:snapToGrid w:val="0"/>
          <w:sz w:val="28"/>
          <w:szCs w:val="28"/>
        </w:rPr>
        <w:t>0</w:t>
      </w:r>
      <w:r>
        <w:rPr>
          <w:rFonts w:ascii="仿宋" w:eastAsia="仿宋" w:hAnsi="仿宋" w:hint="eastAsia"/>
          <w:snapToGrid w:val="0"/>
          <w:sz w:val="28"/>
          <w:szCs w:val="28"/>
        </w:rPr>
        <w:t>000元的8个、2</w:t>
      </w:r>
      <w:r>
        <w:rPr>
          <w:rFonts w:ascii="仿宋" w:eastAsia="仿宋" w:hAnsi="仿宋"/>
          <w:snapToGrid w:val="0"/>
          <w:sz w:val="28"/>
          <w:szCs w:val="28"/>
        </w:rPr>
        <w:t>0000</w:t>
      </w:r>
      <w:r>
        <w:rPr>
          <w:rFonts w:ascii="仿宋" w:eastAsia="仿宋" w:hAnsi="仿宋" w:hint="eastAsia"/>
          <w:snapToGrid w:val="0"/>
          <w:sz w:val="28"/>
          <w:szCs w:val="28"/>
        </w:rPr>
        <w:t>元的11个。由评委会评审决定。所有项目的资助周期为1年，如确需要可延期1年，但需提交延期报告，格式参照结题报告书。</w:t>
      </w:r>
    </w:p>
    <w:p w14:paraId="4AE1D4D0" w14:textId="77777777" w:rsidR="002E51E5" w:rsidRDefault="001E2063">
      <w:pPr>
        <w:spacing w:line="500" w:lineRule="exact"/>
        <w:rPr>
          <w:rFonts w:ascii="仿宋" w:eastAsia="仿宋" w:hAnsi="仿宋"/>
          <w:snapToGrid w:val="0"/>
          <w:sz w:val="28"/>
          <w:szCs w:val="28"/>
        </w:rPr>
      </w:pPr>
      <w:r>
        <w:rPr>
          <w:rFonts w:ascii="仿宋" w:eastAsia="仿宋" w:hAnsi="仿宋" w:hint="eastAsia"/>
          <w:snapToGrid w:val="0"/>
          <w:sz w:val="28"/>
          <w:szCs w:val="28"/>
        </w:rPr>
        <w:t>3.3  具体流程：药学会发项目申报通知到各医院药学部门→医院药学部门向药学会提供科研方案→评委会评审方案的合理性，选出立项项目→立项单位签订立项合同书→药学会将经费转入立项单位→项目研究→向药学会交结题报告→评审→通过评审的结题报告由药学会备案。</w:t>
      </w:r>
    </w:p>
    <w:p w14:paraId="7A772554" w14:textId="63BD200B" w:rsidR="002E51E5" w:rsidRDefault="001E2063">
      <w:pPr>
        <w:widowControl/>
        <w:spacing w:line="500" w:lineRule="exact"/>
        <w:rPr>
          <w:rFonts w:ascii="仿宋" w:eastAsia="仿宋" w:hAnsi="仿宋"/>
          <w:snapToGrid w:val="0"/>
          <w:sz w:val="28"/>
          <w:szCs w:val="28"/>
        </w:rPr>
      </w:pPr>
      <w:r>
        <w:rPr>
          <w:rFonts w:ascii="仿宋" w:eastAsia="仿宋" w:hAnsi="仿宋" w:hint="eastAsia"/>
          <w:snapToGrid w:val="0"/>
          <w:sz w:val="28"/>
          <w:szCs w:val="28"/>
        </w:rPr>
        <w:lastRenderedPageBreak/>
        <w:t>3.4  项目申请：广东省行政区内二级以上医院医生或药学人员可向广东省药学会提出项目申请（每家医院限报1-</w:t>
      </w:r>
      <w:r>
        <w:rPr>
          <w:rFonts w:ascii="仿宋" w:eastAsia="仿宋" w:hAnsi="仿宋"/>
          <w:snapToGrid w:val="0"/>
          <w:sz w:val="28"/>
          <w:szCs w:val="28"/>
        </w:rPr>
        <w:t>2</w:t>
      </w:r>
      <w:r>
        <w:rPr>
          <w:rFonts w:ascii="仿宋" w:eastAsia="仿宋" w:hAnsi="仿宋" w:hint="eastAsia"/>
          <w:snapToGrid w:val="0"/>
          <w:sz w:val="28"/>
          <w:szCs w:val="28"/>
        </w:rPr>
        <w:t>个项目，已获得本会医院药学研究基金资助但未结题的项目负责人不得申报本年度基金，项目前三负责人至少要有一名药学人员），提交指定项目申请书，申请书须经申请者单位同意并签盖公章。评委会评选出22个项目并确定资助金额，</w:t>
      </w:r>
      <w:r w:rsidR="00FE74DB" w:rsidRPr="00BD71D9">
        <w:rPr>
          <w:rFonts w:ascii="仿宋" w:eastAsia="仿宋" w:hAnsi="仿宋" w:hint="eastAsia"/>
          <w:snapToGrid w:val="0"/>
          <w:sz w:val="28"/>
          <w:szCs w:val="28"/>
        </w:rPr>
        <w:t>立项单位须在名单公布后15个工作日内与本会签订</w:t>
      </w:r>
      <w:r>
        <w:rPr>
          <w:rFonts w:ascii="仿宋" w:eastAsia="仿宋" w:hAnsi="仿宋" w:hint="eastAsia"/>
          <w:snapToGrid w:val="0"/>
          <w:sz w:val="28"/>
          <w:szCs w:val="28"/>
        </w:rPr>
        <w:t>《广东省医院药学研究基金立项合同书》。</w:t>
      </w:r>
    </w:p>
    <w:p w14:paraId="5F0257A1" w14:textId="5120D387" w:rsidR="002E51E5" w:rsidRDefault="001E2063">
      <w:pPr>
        <w:spacing w:line="500" w:lineRule="exact"/>
        <w:rPr>
          <w:rFonts w:ascii="仿宋" w:eastAsia="仿宋" w:hAnsi="仿宋"/>
          <w:snapToGrid w:val="0"/>
          <w:sz w:val="28"/>
          <w:szCs w:val="28"/>
        </w:rPr>
      </w:pPr>
      <w:r>
        <w:rPr>
          <w:rFonts w:ascii="仿宋" w:eastAsia="仿宋" w:hAnsi="仿宋" w:hint="eastAsia"/>
          <w:snapToGrid w:val="0"/>
          <w:sz w:val="28"/>
          <w:szCs w:val="28"/>
        </w:rPr>
        <w:t>3.5  科研经费：项目立项后，广东省药学会将项目经费转入立项单位。</w:t>
      </w:r>
      <w:r w:rsidR="00FE74DB" w:rsidRPr="00BD71D9">
        <w:rPr>
          <w:rFonts w:ascii="仿宋" w:eastAsia="仿宋" w:hAnsi="仿宋" w:hint="eastAsia"/>
          <w:b/>
          <w:snapToGrid w:val="0"/>
          <w:sz w:val="28"/>
          <w:szCs w:val="28"/>
        </w:rPr>
        <w:t>根据国家财务审计政策，立项单位在收取科研基金后，须在15个工作日内提供税务发票</w:t>
      </w:r>
      <w:r>
        <w:rPr>
          <w:rFonts w:ascii="仿宋" w:eastAsia="仿宋" w:hAnsi="仿宋" w:hint="eastAsia"/>
          <w:b/>
          <w:snapToGrid w:val="0"/>
          <w:sz w:val="28"/>
          <w:szCs w:val="28"/>
        </w:rPr>
        <w:t>。</w:t>
      </w:r>
      <w:r>
        <w:rPr>
          <w:rFonts w:ascii="仿宋" w:eastAsia="仿宋" w:hAnsi="仿宋" w:hint="eastAsia"/>
          <w:snapToGrid w:val="0"/>
          <w:sz w:val="28"/>
          <w:szCs w:val="28"/>
        </w:rPr>
        <w:t>由立项单位监督管理经费的使用，保证专款专用。</w:t>
      </w:r>
    </w:p>
    <w:p w14:paraId="7818C8E4" w14:textId="77777777" w:rsidR="002E51E5" w:rsidRDefault="001E2063">
      <w:pPr>
        <w:spacing w:line="500" w:lineRule="exact"/>
        <w:rPr>
          <w:rFonts w:ascii="仿宋" w:eastAsia="仿宋" w:hAnsi="仿宋"/>
          <w:b/>
          <w:snapToGrid w:val="0"/>
          <w:sz w:val="28"/>
          <w:szCs w:val="28"/>
        </w:rPr>
      </w:pPr>
      <w:r>
        <w:rPr>
          <w:rFonts w:ascii="仿宋" w:eastAsia="仿宋" w:hAnsi="仿宋" w:hint="eastAsia"/>
          <w:snapToGrid w:val="0"/>
          <w:sz w:val="28"/>
          <w:szCs w:val="28"/>
        </w:rPr>
        <w:t>3.6  结题：项目研究期间，</w:t>
      </w:r>
      <w:r>
        <w:rPr>
          <w:rFonts w:ascii="仿宋" w:eastAsia="仿宋" w:hAnsi="仿宋" w:hint="eastAsia"/>
          <w:b/>
          <w:snapToGrid w:val="0"/>
          <w:sz w:val="28"/>
          <w:szCs w:val="28"/>
        </w:rPr>
        <w:t>须在本会主办的《今日药学》杂志发表研究论文一篇</w:t>
      </w:r>
      <w:r>
        <w:rPr>
          <w:rFonts w:ascii="仿宋" w:eastAsia="仿宋" w:hAnsi="仿宋" w:hint="eastAsia"/>
          <w:snapToGrid w:val="0"/>
          <w:sz w:val="28"/>
          <w:szCs w:val="28"/>
        </w:rPr>
        <w:t>（以录用通知为准）。项目完成后，立项单位应向评委会提交项目结题报告与单位财务部门出具的经费使用清单，由评委会负责评审。评审通过后的项目结题报告应分别交赞助单位及药学会备案。</w:t>
      </w:r>
      <w:r>
        <w:rPr>
          <w:rFonts w:ascii="仿宋" w:eastAsia="仿宋" w:hAnsi="仿宋" w:hint="eastAsia"/>
          <w:b/>
          <w:snapToGrid w:val="0"/>
          <w:sz w:val="28"/>
          <w:szCs w:val="28"/>
        </w:rPr>
        <w:t>凡未提交项目结题报告或其内容不真实的，本会保留追究责任。</w:t>
      </w:r>
    </w:p>
    <w:p w14:paraId="122E7829" w14:textId="77777777" w:rsidR="002E51E5" w:rsidRDefault="001E2063">
      <w:pPr>
        <w:spacing w:line="500" w:lineRule="exact"/>
        <w:rPr>
          <w:rFonts w:ascii="仿宋" w:eastAsia="仿宋" w:hAnsi="仿宋"/>
          <w:sz w:val="28"/>
          <w:szCs w:val="28"/>
        </w:rPr>
      </w:pPr>
      <w:r>
        <w:rPr>
          <w:rFonts w:ascii="仿宋" w:eastAsia="仿宋" w:hAnsi="仿宋" w:hint="eastAsia"/>
          <w:snapToGrid w:val="0"/>
          <w:sz w:val="28"/>
          <w:szCs w:val="28"/>
        </w:rPr>
        <w:t>3.7  知识产权：科研项目成果的知识产权属于研究者所有，但赞助单位可以在其资料中无偿引用该研究成果。</w:t>
      </w:r>
    </w:p>
    <w:p w14:paraId="528F4197" w14:textId="77777777" w:rsidR="002E51E5" w:rsidRDefault="002E51E5">
      <w:pPr>
        <w:spacing w:line="540" w:lineRule="exact"/>
        <w:ind w:firstLineChars="200" w:firstLine="420"/>
      </w:pPr>
    </w:p>
    <w:sectPr w:rsidR="002E51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824F" w14:textId="77777777" w:rsidR="00835452" w:rsidRDefault="00835452" w:rsidP="00D010B6">
      <w:r>
        <w:separator/>
      </w:r>
    </w:p>
  </w:endnote>
  <w:endnote w:type="continuationSeparator" w:id="0">
    <w:p w14:paraId="7DF444A5" w14:textId="77777777" w:rsidR="00835452" w:rsidRDefault="00835452" w:rsidP="00D0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3B049" w14:textId="77777777" w:rsidR="00835452" w:rsidRDefault="00835452" w:rsidP="00D010B6">
      <w:r>
        <w:separator/>
      </w:r>
    </w:p>
  </w:footnote>
  <w:footnote w:type="continuationSeparator" w:id="0">
    <w:p w14:paraId="1081D3E5" w14:textId="77777777" w:rsidR="00835452" w:rsidRDefault="00835452" w:rsidP="00D01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49"/>
    <w:rsid w:val="0001143D"/>
    <w:rsid w:val="00044D73"/>
    <w:rsid w:val="000E6342"/>
    <w:rsid w:val="00105DE0"/>
    <w:rsid w:val="0015116C"/>
    <w:rsid w:val="00164000"/>
    <w:rsid w:val="001E2063"/>
    <w:rsid w:val="002841F8"/>
    <w:rsid w:val="002A5150"/>
    <w:rsid w:val="002E51E5"/>
    <w:rsid w:val="003464DA"/>
    <w:rsid w:val="004E2DA6"/>
    <w:rsid w:val="00536622"/>
    <w:rsid w:val="00571E98"/>
    <w:rsid w:val="005A043C"/>
    <w:rsid w:val="005F2E17"/>
    <w:rsid w:val="006475DD"/>
    <w:rsid w:val="00671F4C"/>
    <w:rsid w:val="0068658F"/>
    <w:rsid w:val="006A1933"/>
    <w:rsid w:val="006D4F02"/>
    <w:rsid w:val="006E57F6"/>
    <w:rsid w:val="007674C6"/>
    <w:rsid w:val="0081090B"/>
    <w:rsid w:val="00825DC4"/>
    <w:rsid w:val="00835452"/>
    <w:rsid w:val="008E5E49"/>
    <w:rsid w:val="00990000"/>
    <w:rsid w:val="00A06F0D"/>
    <w:rsid w:val="00A85AC9"/>
    <w:rsid w:val="00AC60C5"/>
    <w:rsid w:val="00B63353"/>
    <w:rsid w:val="00BB765F"/>
    <w:rsid w:val="00C34DEA"/>
    <w:rsid w:val="00C5054D"/>
    <w:rsid w:val="00C5529D"/>
    <w:rsid w:val="00CB2E62"/>
    <w:rsid w:val="00D010B6"/>
    <w:rsid w:val="00D144C0"/>
    <w:rsid w:val="00D62DF4"/>
    <w:rsid w:val="00FC6BA8"/>
    <w:rsid w:val="00FE74DB"/>
    <w:rsid w:val="01B60CBC"/>
    <w:rsid w:val="113C724D"/>
    <w:rsid w:val="189D0BF4"/>
    <w:rsid w:val="1E4E208B"/>
    <w:rsid w:val="425F0A93"/>
    <w:rsid w:val="4A8835F7"/>
    <w:rsid w:val="60862C0F"/>
    <w:rsid w:val="672B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219EF9-9A23-49EA-A9D9-DCC498DC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cp:lastModifiedBy>
  <cp:revision>60</cp:revision>
  <dcterms:created xsi:type="dcterms:W3CDTF">2024-07-13T02:05:00Z</dcterms:created>
  <dcterms:modified xsi:type="dcterms:W3CDTF">2026-03-19T01:45:00Z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eyJoZGlkIjoiMDIzZWFmN2FlZGNkMWMzMzQ5MTAxNjdkZjY2NjU4ZGUiLCJ1c2VySWQiOiIzODM0MDQwNDcifQ==</vt:lpwstr>
  </property>
  <property fmtid="{D5CDD505-2E9C-101B-9397-08002B2CF9AE}" pid="3" name="KSOProductBuildVer">
    <vt:lpwstr>2052-12.1.0.25225</vt:lpwstr>
  </property>
  <property fmtid="{D5CDD505-2E9C-101B-9397-08002B2CF9AE}" pid="4" name="ICV">
    <vt:lpwstr>66F522B8B9204047A5551A543FFCB8F8_12</vt:lpwstr>
  </property>
</Properties>
</file>