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7F94E">
      <w:pPr>
        <w:jc w:val="center"/>
        <w:rPr>
          <w:rFonts w:ascii="宋体" w:hAnsi="宋体"/>
          <w:b/>
          <w:bCs/>
          <w:color w:val="000000"/>
          <w:sz w:val="44"/>
          <w:szCs w:val="44"/>
        </w:rPr>
      </w:pPr>
      <w:r>
        <w:rPr>
          <w:rFonts w:ascii="宋体" w:hAnsi="宋体"/>
          <w:b/>
          <w:bCs/>
          <w:color w:val="000000"/>
          <w:sz w:val="44"/>
          <w:szCs w:val="44"/>
        </w:rPr>
        <w:t>2026年广东省医院药学研究基金——肿瘤医药协同专项基金（信达基金）</w:t>
      </w:r>
      <w:r>
        <w:rPr>
          <w:rFonts w:hint="eastAsia" w:ascii="宋体" w:hAnsi="宋体"/>
          <w:b/>
          <w:bCs/>
          <w:color w:val="000000"/>
          <w:sz w:val="44"/>
          <w:szCs w:val="44"/>
        </w:rPr>
        <w:t>工作方案</w:t>
      </w:r>
    </w:p>
    <w:p w14:paraId="2251F47F">
      <w:pPr>
        <w:spacing w:line="540" w:lineRule="exact"/>
        <w:rPr>
          <w:rFonts w:ascii="仿宋" w:hAnsi="仿宋" w:eastAsia="仿宋"/>
          <w:b/>
          <w:bCs/>
          <w:sz w:val="28"/>
          <w:szCs w:val="28"/>
        </w:rPr>
      </w:pPr>
    </w:p>
    <w:p w14:paraId="025B639D">
      <w:pPr>
        <w:spacing w:line="500" w:lineRule="exact"/>
        <w:rPr>
          <w:rFonts w:ascii="仿宋" w:hAnsi="仿宋" w:eastAsia="仿宋"/>
          <w:b/>
          <w:snapToGrid w:val="0"/>
          <w:sz w:val="28"/>
          <w:szCs w:val="28"/>
        </w:rPr>
      </w:pPr>
      <w:r>
        <w:rPr>
          <w:rFonts w:hint="eastAsia" w:ascii="仿宋" w:hAnsi="仿宋" w:eastAsia="仿宋"/>
          <w:b/>
          <w:snapToGrid w:val="0"/>
          <w:sz w:val="28"/>
          <w:szCs w:val="28"/>
        </w:rPr>
        <w:t>1.  宗旨</w:t>
      </w:r>
    </w:p>
    <w:p w14:paraId="01E0D8D6">
      <w:pPr>
        <w:spacing w:line="500" w:lineRule="exact"/>
        <w:rPr>
          <w:rFonts w:ascii="仿宋" w:hAnsi="仿宋" w:eastAsia="仿宋"/>
          <w:snapToGrid w:val="0"/>
          <w:sz w:val="28"/>
          <w:szCs w:val="28"/>
        </w:rPr>
      </w:pPr>
      <w:r>
        <w:rPr>
          <w:rFonts w:ascii="仿宋" w:hAnsi="仿宋" w:eastAsia="仿宋"/>
          <w:snapToGrid w:val="0"/>
          <w:sz w:val="28"/>
          <w:szCs w:val="28"/>
        </w:rPr>
        <w:t>2026年广东省医院药学研究基金——肿瘤医药协同专项基金（信达基金）</w:t>
      </w:r>
      <w:r>
        <w:rPr>
          <w:rFonts w:hint="eastAsia" w:ascii="仿宋" w:hAnsi="仿宋" w:eastAsia="仿宋"/>
          <w:snapToGrid w:val="0"/>
          <w:sz w:val="28"/>
          <w:szCs w:val="28"/>
        </w:rPr>
        <w:t>的宗旨为：推动</w:t>
      </w:r>
      <w:r>
        <w:rPr>
          <w:rFonts w:hint="eastAsia" w:ascii="仿宋" w:hAnsi="仿宋" w:eastAsia="仿宋"/>
          <w:snapToGrid w:val="0"/>
          <w:sz w:val="28"/>
          <w:szCs w:val="28"/>
          <w:lang w:val="en-US" w:eastAsia="zh-CN"/>
        </w:rPr>
        <w:t>肿瘤治疗协作药物治疗管理（CDTM）的落地，协助</w:t>
      </w:r>
      <w:r>
        <w:rPr>
          <w:rFonts w:hint="eastAsia" w:ascii="仿宋" w:hAnsi="仿宋" w:eastAsia="仿宋"/>
          <w:snapToGrid w:val="0"/>
          <w:sz w:val="28"/>
          <w:szCs w:val="28"/>
        </w:rPr>
        <w:t>广大医院药师</w:t>
      </w:r>
      <w:r>
        <w:rPr>
          <w:rFonts w:hint="eastAsia" w:ascii="仿宋" w:hAnsi="仿宋" w:eastAsia="仿宋"/>
          <w:snapToGrid w:val="0"/>
          <w:sz w:val="28"/>
          <w:szCs w:val="28"/>
          <w:lang w:val="en-US" w:eastAsia="zh-CN"/>
        </w:rPr>
        <w:t>利用CDTM模式开展临床</w:t>
      </w:r>
      <w:r>
        <w:rPr>
          <w:rFonts w:hint="eastAsia" w:ascii="仿宋" w:hAnsi="仿宋" w:eastAsia="仿宋"/>
          <w:snapToGrid w:val="0"/>
          <w:sz w:val="28"/>
          <w:szCs w:val="28"/>
        </w:rPr>
        <w:t>科研，提高广东省医院临床用药学科建设，优化临床合理用药，降低治疗成本，推动医疗资源合理使用。</w:t>
      </w:r>
    </w:p>
    <w:p w14:paraId="2DB7739F">
      <w:pPr>
        <w:spacing w:line="500" w:lineRule="exact"/>
        <w:rPr>
          <w:rFonts w:ascii="仿宋" w:hAnsi="仿宋" w:eastAsia="仿宋"/>
          <w:snapToGrid w:val="0"/>
          <w:sz w:val="28"/>
          <w:szCs w:val="28"/>
        </w:rPr>
      </w:pPr>
    </w:p>
    <w:p w14:paraId="7294DB5C">
      <w:pPr>
        <w:spacing w:line="500" w:lineRule="exact"/>
        <w:rPr>
          <w:rFonts w:ascii="仿宋" w:hAnsi="仿宋" w:eastAsia="仿宋"/>
          <w:b/>
          <w:snapToGrid w:val="0"/>
          <w:sz w:val="28"/>
          <w:szCs w:val="28"/>
        </w:rPr>
      </w:pPr>
      <w:r>
        <w:rPr>
          <w:rFonts w:hint="eastAsia" w:ascii="仿宋" w:hAnsi="仿宋" w:eastAsia="仿宋"/>
          <w:b/>
          <w:snapToGrid w:val="0"/>
          <w:sz w:val="28"/>
          <w:szCs w:val="28"/>
        </w:rPr>
        <w:t>2.  委员会组成</w:t>
      </w:r>
    </w:p>
    <w:p w14:paraId="4F08EBD4">
      <w:pPr>
        <w:spacing w:line="500" w:lineRule="exact"/>
        <w:rPr>
          <w:rFonts w:ascii="仿宋" w:hAnsi="仿宋" w:eastAsia="仿宋"/>
          <w:snapToGrid w:val="0"/>
          <w:sz w:val="28"/>
          <w:szCs w:val="28"/>
        </w:rPr>
      </w:pPr>
      <w:r>
        <w:rPr>
          <w:rFonts w:ascii="仿宋" w:hAnsi="仿宋" w:eastAsia="仿宋"/>
          <w:snapToGrid w:val="0"/>
          <w:sz w:val="28"/>
          <w:szCs w:val="28"/>
        </w:rPr>
        <w:t>2026年广东省医院药学研究基金——肿瘤医药协同专项基金（信达基金）</w:t>
      </w:r>
      <w:r>
        <w:rPr>
          <w:rFonts w:hint="eastAsia" w:ascii="仿宋" w:hAnsi="仿宋" w:eastAsia="仿宋"/>
          <w:snapToGrid w:val="0"/>
          <w:sz w:val="28"/>
          <w:szCs w:val="28"/>
        </w:rPr>
        <w:t>评审委员会（以下简称“评委会”）由广东省药学会相关专业委员会成员及三甲医院临床或药学专家等具有高级技术职称的人员组成。</w:t>
      </w:r>
    </w:p>
    <w:p w14:paraId="6F26FF74">
      <w:pPr>
        <w:spacing w:line="500" w:lineRule="exact"/>
        <w:rPr>
          <w:rFonts w:ascii="仿宋" w:hAnsi="仿宋" w:eastAsia="仿宋"/>
          <w:snapToGrid w:val="0"/>
          <w:sz w:val="28"/>
          <w:szCs w:val="28"/>
        </w:rPr>
      </w:pPr>
    </w:p>
    <w:p w14:paraId="4B56A709">
      <w:pPr>
        <w:spacing w:line="500" w:lineRule="exact"/>
        <w:rPr>
          <w:rFonts w:ascii="仿宋" w:hAnsi="仿宋" w:eastAsia="仿宋"/>
          <w:b/>
          <w:snapToGrid w:val="0"/>
          <w:sz w:val="28"/>
          <w:szCs w:val="28"/>
        </w:rPr>
      </w:pPr>
      <w:r>
        <w:rPr>
          <w:rFonts w:hint="eastAsia" w:ascii="仿宋" w:hAnsi="仿宋" w:eastAsia="仿宋"/>
          <w:b/>
          <w:snapToGrid w:val="0"/>
          <w:sz w:val="28"/>
          <w:szCs w:val="28"/>
        </w:rPr>
        <w:t>3．基金申报运行流程</w:t>
      </w:r>
    </w:p>
    <w:p w14:paraId="263283EA">
      <w:pPr>
        <w:spacing w:line="500" w:lineRule="exact"/>
        <w:rPr>
          <w:rFonts w:hint="eastAsia" w:ascii="仿宋" w:hAnsi="仿宋" w:eastAsia="仿宋"/>
          <w:snapToGrid w:val="0"/>
          <w:color w:val="000000"/>
          <w:sz w:val="28"/>
          <w:szCs w:val="28"/>
          <w:lang w:eastAsia="zh-CN"/>
        </w:rPr>
      </w:pPr>
      <w:r>
        <w:rPr>
          <w:rFonts w:hint="eastAsia" w:ascii="仿宋" w:hAnsi="仿宋" w:eastAsia="仿宋"/>
          <w:snapToGrid w:val="0"/>
          <w:sz w:val="28"/>
          <w:szCs w:val="28"/>
        </w:rPr>
        <w:t xml:space="preserve">3.1  </w:t>
      </w:r>
      <w:r>
        <w:rPr>
          <w:rFonts w:hint="eastAsia" w:ascii="仿宋" w:hAnsi="仿宋" w:eastAsia="仿宋"/>
          <w:snapToGrid w:val="0"/>
          <w:color w:val="000000"/>
          <w:sz w:val="28"/>
          <w:szCs w:val="28"/>
        </w:rPr>
        <w:t>项目方向：医院药学肿瘤支持治疗有关研究方向</w:t>
      </w:r>
      <w:r>
        <w:rPr>
          <w:rFonts w:hint="eastAsia" w:ascii="仿宋" w:hAnsi="仿宋" w:eastAsia="仿宋"/>
          <w:snapToGrid w:val="0"/>
          <w:color w:val="000000"/>
          <w:sz w:val="28"/>
          <w:szCs w:val="28"/>
          <w:lang w:eastAsia="zh-CN"/>
        </w:rPr>
        <w:t>，</w:t>
      </w:r>
      <w:r>
        <w:rPr>
          <w:rFonts w:ascii="仿宋" w:hAnsi="仿宋" w:eastAsia="仿宋"/>
          <w:snapToGrid w:val="0"/>
          <w:color w:val="000000"/>
          <w:sz w:val="28"/>
          <w:szCs w:val="28"/>
        </w:rPr>
        <w:t>肺癌优先</w:t>
      </w:r>
      <w:r>
        <w:rPr>
          <w:rFonts w:hint="eastAsia" w:ascii="仿宋" w:hAnsi="仿宋" w:eastAsia="仿宋"/>
          <w:snapToGrid w:val="0"/>
          <w:color w:val="000000"/>
          <w:sz w:val="28"/>
          <w:szCs w:val="28"/>
          <w:lang w:eastAsia="zh-CN"/>
        </w:rPr>
        <w:t>。</w:t>
      </w:r>
    </w:p>
    <w:p w14:paraId="0C6C74D9">
      <w:pPr>
        <w:spacing w:line="500" w:lineRule="exact"/>
        <w:rPr>
          <w:rFonts w:ascii="仿宋" w:hAnsi="仿宋" w:eastAsia="仿宋"/>
          <w:snapToGrid w:val="0"/>
          <w:sz w:val="28"/>
          <w:szCs w:val="28"/>
        </w:rPr>
      </w:pPr>
      <w:r>
        <w:rPr>
          <w:rFonts w:hint="eastAsia" w:ascii="仿宋" w:hAnsi="仿宋" w:eastAsia="仿宋"/>
          <w:snapToGrid w:val="0"/>
          <w:sz w:val="28"/>
          <w:szCs w:val="28"/>
        </w:rPr>
        <w:t xml:space="preserve">3.2 </w:t>
      </w:r>
      <w:r>
        <w:rPr>
          <w:rFonts w:ascii="仿宋" w:hAnsi="仿宋" w:eastAsia="仿宋"/>
          <w:snapToGrid w:val="0"/>
          <w:sz w:val="28"/>
          <w:szCs w:val="28"/>
        </w:rPr>
        <w:t xml:space="preserve"> </w:t>
      </w:r>
      <w:r>
        <w:rPr>
          <w:rFonts w:hint="eastAsia" w:ascii="仿宋" w:hAnsi="仿宋" w:eastAsia="仿宋"/>
          <w:snapToGrid w:val="0"/>
          <w:sz w:val="28"/>
          <w:szCs w:val="28"/>
        </w:rPr>
        <w:t>项目：</w:t>
      </w:r>
      <w:r>
        <w:rPr>
          <w:rFonts w:ascii="仿宋" w:hAnsi="仿宋" w:eastAsia="仿宋"/>
          <w:snapToGrid w:val="0"/>
          <w:sz w:val="28"/>
          <w:szCs w:val="28"/>
        </w:rPr>
        <w:t>10</w:t>
      </w:r>
      <w:r>
        <w:rPr>
          <w:rFonts w:hint="eastAsia" w:ascii="仿宋" w:hAnsi="仿宋" w:eastAsia="仿宋"/>
          <w:snapToGrid w:val="0"/>
          <w:sz w:val="28"/>
          <w:szCs w:val="28"/>
        </w:rPr>
        <w:t>个课题，其中资助经费</w:t>
      </w:r>
      <w:r>
        <w:rPr>
          <w:rFonts w:ascii="仿宋" w:hAnsi="仿宋" w:eastAsia="仿宋"/>
          <w:snapToGrid w:val="0"/>
          <w:sz w:val="28"/>
          <w:szCs w:val="28"/>
        </w:rPr>
        <w:t>100</w:t>
      </w:r>
      <w:r>
        <w:rPr>
          <w:rFonts w:hint="eastAsia" w:ascii="仿宋" w:hAnsi="仿宋" w:eastAsia="仿宋"/>
          <w:snapToGrid w:val="0"/>
          <w:sz w:val="28"/>
          <w:szCs w:val="28"/>
        </w:rPr>
        <w:t>000元的</w:t>
      </w:r>
      <w:r>
        <w:rPr>
          <w:rFonts w:ascii="仿宋" w:hAnsi="仿宋" w:eastAsia="仿宋"/>
          <w:snapToGrid w:val="0"/>
          <w:sz w:val="28"/>
          <w:szCs w:val="28"/>
        </w:rPr>
        <w:t>1</w:t>
      </w:r>
      <w:r>
        <w:rPr>
          <w:rFonts w:hint="eastAsia" w:ascii="仿宋" w:hAnsi="仿宋" w:eastAsia="仿宋"/>
          <w:snapToGrid w:val="0"/>
          <w:sz w:val="28"/>
          <w:szCs w:val="28"/>
        </w:rPr>
        <w:t>个、</w:t>
      </w:r>
      <w:r>
        <w:rPr>
          <w:rFonts w:ascii="仿宋" w:hAnsi="仿宋" w:eastAsia="仿宋"/>
          <w:snapToGrid w:val="0"/>
          <w:sz w:val="28"/>
          <w:szCs w:val="28"/>
        </w:rPr>
        <w:t>50</w:t>
      </w:r>
      <w:r>
        <w:rPr>
          <w:rFonts w:hint="eastAsia" w:ascii="仿宋" w:hAnsi="仿宋" w:eastAsia="仿宋"/>
          <w:snapToGrid w:val="0"/>
          <w:sz w:val="28"/>
          <w:szCs w:val="28"/>
        </w:rPr>
        <w:t>000元的</w:t>
      </w:r>
      <w:r>
        <w:rPr>
          <w:rFonts w:ascii="仿宋" w:hAnsi="仿宋" w:eastAsia="仿宋"/>
          <w:snapToGrid w:val="0"/>
          <w:sz w:val="28"/>
          <w:szCs w:val="28"/>
        </w:rPr>
        <w:t>3</w:t>
      </w:r>
      <w:r>
        <w:rPr>
          <w:rFonts w:hint="eastAsia" w:ascii="仿宋" w:hAnsi="仿宋" w:eastAsia="仿宋"/>
          <w:snapToGrid w:val="0"/>
          <w:sz w:val="28"/>
          <w:szCs w:val="28"/>
        </w:rPr>
        <w:t>个、</w:t>
      </w:r>
      <w:r>
        <w:rPr>
          <w:rFonts w:ascii="仿宋" w:hAnsi="仿宋" w:eastAsia="仿宋"/>
          <w:snapToGrid w:val="0"/>
          <w:sz w:val="28"/>
          <w:szCs w:val="28"/>
        </w:rPr>
        <w:t>30000</w:t>
      </w:r>
      <w:r>
        <w:rPr>
          <w:rFonts w:hint="eastAsia" w:ascii="仿宋" w:hAnsi="仿宋" w:eastAsia="仿宋"/>
          <w:snapToGrid w:val="0"/>
          <w:sz w:val="28"/>
          <w:szCs w:val="28"/>
        </w:rPr>
        <w:t>元的</w:t>
      </w:r>
      <w:r>
        <w:rPr>
          <w:rFonts w:ascii="仿宋" w:hAnsi="仿宋" w:eastAsia="仿宋"/>
          <w:snapToGrid w:val="0"/>
          <w:sz w:val="28"/>
          <w:szCs w:val="28"/>
        </w:rPr>
        <w:t>6</w:t>
      </w:r>
      <w:r>
        <w:rPr>
          <w:rFonts w:hint="eastAsia" w:ascii="仿宋" w:hAnsi="仿宋" w:eastAsia="仿宋"/>
          <w:snapToGrid w:val="0"/>
          <w:sz w:val="28"/>
          <w:szCs w:val="28"/>
        </w:rPr>
        <w:t>个。由评委会评审决定。项目的资助周期为1年，如确需要可延期1年，但需提交延期报告，格式参照结题报告书。</w:t>
      </w:r>
    </w:p>
    <w:p w14:paraId="586FC2C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napToGrid w:val="0"/>
          <w:sz w:val="28"/>
          <w:szCs w:val="28"/>
        </w:rPr>
      </w:pPr>
      <w:r>
        <w:rPr>
          <w:rFonts w:hint="eastAsia" w:ascii="仿宋" w:hAnsi="仿宋" w:eastAsia="仿宋"/>
          <w:snapToGrid w:val="0"/>
          <w:sz w:val="28"/>
          <w:szCs w:val="28"/>
        </w:rPr>
        <w:t>3.3  具体流程：药学会发项目申报通知到各医院药学部门→医院药学部门向药学会提供科研方案→评委会评审方案的合理性，选出立项项目→立项单位签订立项合同书→药学会将经费转入立项单位→项目研究→向药学会交结题报告→评审→通过评审的结题报告由药学会备案。</w:t>
      </w:r>
    </w:p>
    <w:p w14:paraId="421C0C2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napToGrid w:val="0"/>
          <w:sz w:val="28"/>
          <w:szCs w:val="28"/>
        </w:rPr>
      </w:pPr>
      <w:r>
        <w:rPr>
          <w:rFonts w:hint="eastAsia" w:ascii="仿宋" w:hAnsi="仿宋" w:eastAsia="仿宋"/>
          <w:snapToGrid w:val="0"/>
          <w:sz w:val="28"/>
          <w:szCs w:val="28"/>
        </w:rPr>
        <w:t>3.4  项目申请：广东省行政区内</w:t>
      </w:r>
      <w:r>
        <w:rPr>
          <w:rFonts w:ascii="仿宋" w:hAnsi="仿宋" w:eastAsia="仿宋"/>
          <w:snapToGrid w:val="0"/>
          <w:sz w:val="28"/>
          <w:szCs w:val="28"/>
        </w:rPr>
        <w:t>三</w:t>
      </w:r>
      <w:r>
        <w:rPr>
          <w:rFonts w:hint="eastAsia" w:ascii="仿宋" w:hAnsi="仿宋" w:eastAsia="仿宋"/>
          <w:snapToGrid w:val="0"/>
          <w:sz w:val="28"/>
          <w:szCs w:val="28"/>
        </w:rPr>
        <w:t>级以上医院药学人员可向广东省药学会提出项目申请</w:t>
      </w:r>
      <w:r>
        <w:rPr>
          <w:rFonts w:hint="eastAsia" w:ascii="仿宋" w:hAnsi="仿宋" w:eastAsia="仿宋"/>
          <w:snapToGrid w:val="0"/>
          <w:sz w:val="28"/>
          <w:szCs w:val="28"/>
          <w:lang w:eastAsia="zh-CN"/>
        </w:rPr>
        <w:t>，</w:t>
      </w:r>
      <w:r>
        <w:rPr>
          <w:rFonts w:hint="eastAsia" w:ascii="仿宋" w:hAnsi="仿宋" w:eastAsia="仿宋"/>
          <w:snapToGrid w:val="0"/>
          <w:sz w:val="28"/>
          <w:szCs w:val="28"/>
        </w:rPr>
        <w:t>每家医院限报1个项目，已获得本会医院药学研究基金资助但未结题的项目负责人不得申报本年度基金，</w:t>
      </w:r>
      <w:r>
        <w:rPr>
          <w:rFonts w:hint="eastAsia" w:ascii="仿宋" w:hAnsi="仿宋" w:eastAsia="仿宋"/>
          <w:snapToGrid w:val="0"/>
          <w:sz w:val="28"/>
          <w:szCs w:val="28"/>
          <w:lang w:val="en-US" w:eastAsia="zh-CN"/>
        </w:rPr>
        <w:t>由申请人单位审核</w:t>
      </w:r>
      <w:bookmarkStart w:id="0" w:name="_GoBack"/>
      <w:bookmarkEnd w:id="0"/>
      <w:r>
        <w:rPr>
          <w:rFonts w:hint="eastAsia" w:ascii="仿宋" w:hAnsi="仿宋" w:eastAsia="仿宋"/>
          <w:snapToGrid w:val="0"/>
          <w:sz w:val="28"/>
          <w:szCs w:val="28"/>
          <w:lang w:val="en-US" w:eastAsia="zh-CN"/>
        </w:rPr>
        <w:t>把关。为体现CDTM特点，前三名项目组成员须有医生和药师。申请人</w:t>
      </w:r>
      <w:r>
        <w:rPr>
          <w:rFonts w:hint="eastAsia" w:ascii="仿宋" w:hAnsi="仿宋" w:eastAsia="仿宋"/>
          <w:snapToGrid w:val="0"/>
          <w:sz w:val="28"/>
          <w:szCs w:val="28"/>
        </w:rPr>
        <w:t>提交指定项目申请书，申请书须经申请者单位同意并签盖公章。评委会评选出个项目并确定资助金额，立项单位须在名单公布后15个工作日内与本会签订《广东省医院药学研究基金立项合同书》。</w:t>
      </w:r>
    </w:p>
    <w:p w14:paraId="1C21914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napToGrid w:val="0"/>
          <w:sz w:val="28"/>
          <w:szCs w:val="28"/>
        </w:rPr>
      </w:pPr>
      <w:r>
        <w:rPr>
          <w:rFonts w:hint="eastAsia" w:ascii="仿宋" w:hAnsi="仿宋" w:eastAsia="仿宋"/>
          <w:snapToGrid w:val="0"/>
          <w:sz w:val="28"/>
          <w:szCs w:val="28"/>
        </w:rPr>
        <w:t>3.5  科研经费：项目立项后，广东省药学会将项目经费转入立项单位。</w:t>
      </w:r>
      <w:r>
        <w:rPr>
          <w:rFonts w:hint="eastAsia" w:ascii="仿宋" w:hAnsi="仿宋" w:eastAsia="仿宋"/>
          <w:b/>
          <w:snapToGrid w:val="0"/>
          <w:sz w:val="28"/>
          <w:szCs w:val="28"/>
        </w:rPr>
        <w:t>根据国家财务审计政策，立项单位在收取科研基金后，须在15个工作日内提供税务发票。</w:t>
      </w:r>
      <w:r>
        <w:rPr>
          <w:rFonts w:hint="eastAsia" w:ascii="仿宋" w:hAnsi="仿宋" w:eastAsia="仿宋"/>
          <w:snapToGrid w:val="0"/>
          <w:sz w:val="28"/>
          <w:szCs w:val="28"/>
        </w:rPr>
        <w:t>由立项单位监督管理经费的使用，保证专款专用。</w:t>
      </w:r>
    </w:p>
    <w:p w14:paraId="1576033D">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
          <w:snapToGrid w:val="0"/>
          <w:sz w:val="28"/>
          <w:szCs w:val="28"/>
        </w:rPr>
      </w:pPr>
      <w:r>
        <w:rPr>
          <w:rFonts w:hint="eastAsia" w:ascii="仿宋" w:hAnsi="仿宋" w:eastAsia="仿宋"/>
          <w:snapToGrid w:val="0"/>
          <w:sz w:val="28"/>
          <w:szCs w:val="28"/>
        </w:rPr>
        <w:t>3.6  结题：项目完成后，立项单位应向评委会提交项目结题报告与单位财务部门出具的经费使用清单，由评委会负责评审。评审通过后的项目结题报告应交本会备案。</w:t>
      </w:r>
      <w:r>
        <w:rPr>
          <w:rFonts w:hint="eastAsia" w:ascii="仿宋" w:hAnsi="仿宋" w:eastAsia="仿宋"/>
          <w:b/>
          <w:snapToGrid w:val="0"/>
          <w:sz w:val="28"/>
          <w:szCs w:val="28"/>
        </w:rPr>
        <w:t>凡未提交项目结题报告或其内容不真实的，本会保留追究责任。</w:t>
      </w:r>
    </w:p>
    <w:p w14:paraId="665F3F9D">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snapToGrid w:val="0"/>
          <w:sz w:val="28"/>
          <w:szCs w:val="28"/>
        </w:rPr>
        <w:t>3.7  知识产权：科研项目成果的知识产权属于研究者所有，但赞助单位可以在其资料中无偿引用该研究成果。</w:t>
      </w:r>
    </w:p>
    <w:p w14:paraId="6952DB87">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56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B2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09B2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84"/>
    <w:rsid w:val="00123884"/>
    <w:rsid w:val="00134FB7"/>
    <w:rsid w:val="00575640"/>
    <w:rsid w:val="00A64C2C"/>
    <w:rsid w:val="00D56F20"/>
    <w:rsid w:val="0232363E"/>
    <w:rsid w:val="04E84DE3"/>
    <w:rsid w:val="2E212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905</Words>
  <Characters>946</Characters>
  <Lines>6</Lines>
  <Paragraphs>1</Paragraphs>
  <TotalTime>28</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2025-10-24T02:15:00Z</dcterms:created>
  <dc:creator>lenovo</dc:creator>
  <cp:lastModifiedBy>郑志华</cp:lastModifiedBy>
  <dcterms:modified xsi:type="dcterms:W3CDTF">2026-03-18T01:58:44Z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c5ed4e40d9da445486c1ff2087409e35_23</vt:lpwstr>
  </property>
  <property fmtid="{D5CDD505-2E9C-101B-9397-08002B2CF9AE}" pid="3" name="KSOTemplateDocerSaveRecord">
    <vt:lpwstr>eyJoZGlkIjoiYWZlODZmNDNlODlhNmY3ZTRkOWVjYzgzMzc0ZGE1YWIiLCJ1c2VySWQiOiIxNjY2NzQzMzY4In0=</vt:lpwstr>
  </property>
  <property fmtid="{D5CDD505-2E9C-101B-9397-08002B2CF9AE}" pid="4" name="KSOProductBuildVer">
    <vt:lpwstr>2052-12.1.0.25225</vt:lpwstr>
  </property>
</Properties>
</file>