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D9" w:rsidRPr="00F87E88" w:rsidRDefault="006F57AF" w:rsidP="006F57AF">
      <w:pPr>
        <w:rPr>
          <w:rFonts w:ascii="黑体" w:eastAsia="黑体" w:hAnsi="黑体" w:cs="宋体"/>
          <w:sz w:val="32"/>
        </w:rPr>
      </w:pPr>
      <w:bookmarkStart w:id="0" w:name="_Hlk526715614"/>
      <w:r w:rsidRPr="00F87E88">
        <w:rPr>
          <w:rFonts w:ascii="黑体" w:eastAsia="黑体" w:hAnsi="黑体" w:cs="宋体" w:hint="eastAsia"/>
          <w:sz w:val="32"/>
        </w:rPr>
        <w:t>预防性使用质子泵抑制剂及处方精简专家指导意见</w:t>
      </w:r>
    </w:p>
    <w:p w:rsidR="007A5BD9" w:rsidRPr="006F57AF" w:rsidRDefault="006F57AF" w:rsidP="006F57AF">
      <w:pPr>
        <w:ind w:right="220"/>
        <w:rPr>
          <w:rFonts w:ascii="微软雅黑" w:eastAsia="微软雅黑" w:hAnsi="微软雅黑" w:cs="宋体"/>
          <w:b/>
        </w:rPr>
      </w:pPr>
      <w:r w:rsidRPr="0038411F">
        <w:rPr>
          <w:rFonts w:ascii="Times New Roman" w:eastAsia="仿宋" w:hAnsi="Times New Roman" w:cs="Times New Roman" w:hint="eastAsia"/>
          <w:sz w:val="24"/>
        </w:rPr>
        <w:t>（广东省药学会</w:t>
      </w:r>
      <w:r w:rsidRPr="0038411F">
        <w:rPr>
          <w:rFonts w:ascii="Times New Roman" w:eastAsia="仿宋" w:hAnsi="Times New Roman" w:cs="Times New Roman"/>
          <w:sz w:val="24"/>
        </w:rPr>
        <w:t>2019</w:t>
      </w:r>
      <w:r w:rsidRPr="0038411F">
        <w:rPr>
          <w:rFonts w:ascii="Times New Roman" w:eastAsia="仿宋" w:hAnsi="Times New Roman" w:cs="Times New Roman"/>
          <w:sz w:val="24"/>
        </w:rPr>
        <w:t>年</w:t>
      </w:r>
      <w:r w:rsidR="00A14552">
        <w:rPr>
          <w:rFonts w:ascii="Times New Roman" w:eastAsia="仿宋" w:hAnsi="Times New Roman" w:cs="Times New Roman" w:hint="eastAsia"/>
          <w:sz w:val="24"/>
        </w:rPr>
        <w:t>7</w:t>
      </w:r>
      <w:r w:rsidRPr="0038411F">
        <w:rPr>
          <w:rFonts w:ascii="Times New Roman" w:eastAsia="仿宋" w:hAnsi="Times New Roman" w:cs="Times New Roman"/>
          <w:sz w:val="24"/>
        </w:rPr>
        <w:t>月</w:t>
      </w:r>
      <w:r w:rsidR="00A14552">
        <w:rPr>
          <w:rFonts w:ascii="Times New Roman" w:eastAsia="仿宋" w:hAnsi="Times New Roman" w:cs="Times New Roman" w:hint="eastAsia"/>
          <w:sz w:val="24"/>
        </w:rPr>
        <w:t>1</w:t>
      </w:r>
      <w:r w:rsidRPr="0038411F">
        <w:rPr>
          <w:rFonts w:ascii="Times New Roman" w:eastAsia="仿宋" w:hAnsi="Times New Roman" w:cs="Times New Roman"/>
          <w:sz w:val="24"/>
        </w:rPr>
        <w:t>日发布）</w:t>
      </w:r>
    </w:p>
    <w:p w:rsidR="007A5BD9" w:rsidRDefault="007A5BD9" w:rsidP="006F57AF">
      <w:pPr>
        <w:rPr>
          <w:rFonts w:ascii="微软雅黑" w:eastAsia="微软雅黑" w:hAnsi="微软雅黑" w:cs="宋体"/>
          <w:b/>
        </w:rPr>
      </w:pPr>
    </w:p>
    <w:p w:rsidR="007A5BD9" w:rsidRPr="006F57AF" w:rsidRDefault="006F57AF" w:rsidP="00703EA2">
      <w:pPr>
        <w:spacing w:after="0" w:line="276" w:lineRule="auto"/>
        <w:ind w:firstLineChars="200" w:firstLine="480"/>
        <w:contextualSpacing/>
        <w:jc w:val="both"/>
        <w:rPr>
          <w:rFonts w:ascii="Times New Roman" w:eastAsia="宋体" w:hAnsi="Times New Roman" w:cs="Times New Roman"/>
          <w:sz w:val="24"/>
          <w:szCs w:val="24"/>
        </w:rPr>
      </w:pPr>
      <w:r w:rsidRPr="006F57AF">
        <w:rPr>
          <w:rFonts w:ascii="Times New Roman" w:eastAsia="宋体" w:hAnsi="Times New Roman" w:cs="Times New Roman" w:hint="eastAsia"/>
          <w:sz w:val="24"/>
          <w:szCs w:val="24"/>
        </w:rPr>
        <w:t>质子泵抑制剂（</w:t>
      </w:r>
      <w:r w:rsidRPr="006F57AF">
        <w:rPr>
          <w:rFonts w:ascii="Times New Roman" w:eastAsia="宋体" w:hAnsi="Times New Roman" w:cs="Times New Roman"/>
          <w:sz w:val="24"/>
          <w:szCs w:val="24"/>
        </w:rPr>
        <w:t>proton pump inhibitor</w:t>
      </w:r>
      <w:r w:rsidRPr="006F57AF">
        <w:rPr>
          <w:rFonts w:ascii="Times New Roman" w:eastAsia="宋体" w:hAnsi="Times New Roman" w:cs="Times New Roman"/>
          <w:sz w:val="24"/>
          <w:szCs w:val="24"/>
        </w:rPr>
        <w:t>，</w:t>
      </w:r>
      <w:r w:rsidRPr="006F57AF">
        <w:rPr>
          <w:rFonts w:ascii="Times New Roman" w:eastAsia="宋体" w:hAnsi="Times New Roman" w:cs="Times New Roman"/>
          <w:sz w:val="24"/>
          <w:szCs w:val="24"/>
        </w:rPr>
        <w:t>PPI</w:t>
      </w:r>
      <w:r w:rsidRPr="006F57AF">
        <w:rPr>
          <w:rFonts w:ascii="Times New Roman" w:eastAsia="宋体" w:hAnsi="Times New Roman" w:cs="Times New Roman" w:hint="eastAsia"/>
          <w:sz w:val="24"/>
          <w:szCs w:val="24"/>
        </w:rPr>
        <w:t>）通过抑制胃壁细胞上的</w:t>
      </w:r>
      <w:r w:rsidRPr="006F57AF">
        <w:rPr>
          <w:rFonts w:ascii="Times New Roman" w:eastAsia="宋体" w:hAnsi="Times New Roman" w:cs="Times New Roman" w:hint="eastAsia"/>
          <w:sz w:val="24"/>
          <w:szCs w:val="24"/>
        </w:rPr>
        <w:t>H</w:t>
      </w:r>
      <w:r w:rsidRPr="009A72B1">
        <w:rPr>
          <w:rFonts w:ascii="Times New Roman" w:eastAsia="宋体" w:hAnsi="Times New Roman" w:cs="Times New Roman"/>
          <w:sz w:val="24"/>
          <w:szCs w:val="24"/>
          <w:vertAlign w:val="superscript"/>
        </w:rPr>
        <w:t>+</w:t>
      </w:r>
      <w:r w:rsidRPr="006F57AF">
        <w:rPr>
          <w:rFonts w:ascii="Times New Roman" w:eastAsia="宋体" w:hAnsi="Times New Roman" w:cs="Times New Roman" w:hint="eastAsia"/>
          <w:sz w:val="24"/>
          <w:szCs w:val="24"/>
        </w:rPr>
        <w:t>/K</w:t>
      </w:r>
      <w:r w:rsidRPr="009A72B1">
        <w:rPr>
          <w:rFonts w:ascii="Times New Roman" w:eastAsia="宋体" w:hAnsi="Times New Roman" w:cs="Times New Roman"/>
          <w:sz w:val="24"/>
          <w:szCs w:val="24"/>
          <w:vertAlign w:val="superscript"/>
        </w:rPr>
        <w:t>+</w:t>
      </w:r>
      <w:r w:rsidRPr="006F57AF">
        <w:rPr>
          <w:rFonts w:ascii="Times New Roman" w:eastAsia="宋体" w:hAnsi="Times New Roman" w:cs="Times New Roman" w:hint="eastAsia"/>
          <w:sz w:val="24"/>
          <w:szCs w:val="24"/>
        </w:rPr>
        <w:t>-ATP</w:t>
      </w:r>
      <w:r w:rsidRPr="006F57AF">
        <w:rPr>
          <w:rFonts w:ascii="Times New Roman" w:eastAsia="宋体" w:hAnsi="Times New Roman" w:cs="Times New Roman" w:hint="eastAsia"/>
          <w:sz w:val="24"/>
          <w:szCs w:val="24"/>
        </w:rPr>
        <w:t>酶，强而持久地抑制胃酸分泌，目前</w:t>
      </w:r>
      <w:r w:rsidRPr="006F57AF">
        <w:rPr>
          <w:rFonts w:ascii="Times New Roman" w:eastAsia="宋体" w:hAnsi="Times New Roman" w:cs="Times New Roman" w:hint="eastAsia"/>
          <w:sz w:val="24"/>
          <w:szCs w:val="24"/>
        </w:rPr>
        <w:t>P</w:t>
      </w:r>
      <w:r w:rsidRPr="006F57AF">
        <w:rPr>
          <w:rFonts w:ascii="Times New Roman" w:eastAsia="宋体" w:hAnsi="Times New Roman" w:cs="Times New Roman"/>
          <w:sz w:val="24"/>
          <w:szCs w:val="24"/>
        </w:rPr>
        <w:t>PI</w:t>
      </w:r>
      <w:r w:rsidRPr="006F57AF">
        <w:rPr>
          <w:rFonts w:ascii="Times New Roman" w:eastAsia="宋体" w:hAnsi="Times New Roman" w:cs="Times New Roman" w:hint="eastAsia"/>
          <w:sz w:val="24"/>
          <w:szCs w:val="24"/>
        </w:rPr>
        <w:t>广泛用于治疗胃食管反流病、消化性溃疡、幽门螺杆</w:t>
      </w:r>
      <w:proofErr w:type="gramStart"/>
      <w:r w:rsidRPr="006F57AF">
        <w:rPr>
          <w:rFonts w:ascii="Times New Roman" w:eastAsia="宋体" w:hAnsi="Times New Roman" w:cs="Times New Roman" w:hint="eastAsia"/>
          <w:sz w:val="24"/>
          <w:szCs w:val="24"/>
        </w:rPr>
        <w:t>菌</w:t>
      </w:r>
      <w:proofErr w:type="gramEnd"/>
      <w:r w:rsidRPr="006F57AF">
        <w:rPr>
          <w:rFonts w:ascii="Times New Roman" w:eastAsia="宋体" w:hAnsi="Times New Roman" w:cs="Times New Roman" w:hint="eastAsia"/>
          <w:sz w:val="24"/>
          <w:szCs w:val="24"/>
        </w:rPr>
        <w:t>感染、上消化道出血、卓</w:t>
      </w:r>
      <w:r w:rsidRPr="006F57AF">
        <w:rPr>
          <w:rFonts w:ascii="Times New Roman" w:eastAsia="宋体" w:hAnsi="Times New Roman" w:cs="Times New Roman" w:hint="eastAsia"/>
          <w:sz w:val="24"/>
          <w:szCs w:val="24"/>
        </w:rPr>
        <w:t>-</w:t>
      </w:r>
      <w:r w:rsidRPr="006F57AF">
        <w:rPr>
          <w:rFonts w:ascii="Times New Roman" w:eastAsia="宋体" w:hAnsi="Times New Roman" w:cs="Times New Roman" w:hint="eastAsia"/>
          <w:sz w:val="24"/>
          <w:szCs w:val="24"/>
        </w:rPr>
        <w:t>艾</w:t>
      </w:r>
      <w:proofErr w:type="gramStart"/>
      <w:r w:rsidRPr="006F57AF">
        <w:rPr>
          <w:rFonts w:ascii="Times New Roman" w:eastAsia="宋体" w:hAnsi="Times New Roman" w:cs="Times New Roman" w:hint="eastAsia"/>
          <w:sz w:val="24"/>
          <w:szCs w:val="24"/>
        </w:rPr>
        <w:t>综合征等酸相关性</w:t>
      </w:r>
      <w:proofErr w:type="gramEnd"/>
      <w:r w:rsidRPr="006F57AF">
        <w:rPr>
          <w:rFonts w:ascii="Times New Roman" w:eastAsia="宋体" w:hAnsi="Times New Roman" w:cs="Times New Roman" w:hint="eastAsia"/>
          <w:sz w:val="24"/>
          <w:szCs w:val="24"/>
        </w:rPr>
        <w:t>疾病。</w:t>
      </w:r>
    </w:p>
    <w:p w:rsidR="006F57AF" w:rsidRDefault="006F57AF" w:rsidP="00703EA2">
      <w:pPr>
        <w:spacing w:after="0" w:line="276" w:lineRule="auto"/>
        <w:ind w:firstLineChars="200" w:firstLine="480"/>
        <w:jc w:val="both"/>
        <w:rPr>
          <w:rFonts w:ascii="Times New Roman" w:eastAsia="宋体" w:hAnsi="Times New Roman" w:cs="Times New Roman"/>
          <w:sz w:val="24"/>
          <w:szCs w:val="24"/>
        </w:rPr>
      </w:pPr>
      <w:r w:rsidRPr="006F57AF">
        <w:rPr>
          <w:rFonts w:ascii="Times New Roman" w:eastAsia="宋体" w:hAnsi="Times New Roman" w:cs="Times New Roman" w:hint="eastAsia"/>
          <w:sz w:val="24"/>
          <w:szCs w:val="24"/>
        </w:rPr>
        <w:t>然而，随着</w:t>
      </w:r>
      <w:r w:rsidRPr="006F57AF">
        <w:rPr>
          <w:rFonts w:ascii="Times New Roman" w:eastAsia="宋体" w:hAnsi="Times New Roman" w:cs="Times New Roman" w:hint="eastAsia"/>
          <w:sz w:val="24"/>
          <w:szCs w:val="24"/>
        </w:rPr>
        <w:t>PPI</w:t>
      </w:r>
      <w:r w:rsidRPr="006F57AF">
        <w:rPr>
          <w:rFonts w:ascii="Times New Roman" w:eastAsia="宋体" w:hAnsi="Times New Roman" w:cs="Times New Roman" w:hint="eastAsia"/>
          <w:sz w:val="24"/>
          <w:szCs w:val="24"/>
        </w:rPr>
        <w:t>的广泛使用，其潜在风险和不合理应用问题逐渐凸显。</w:t>
      </w:r>
      <w:r w:rsidRPr="006F57AF">
        <w:rPr>
          <w:rFonts w:ascii="Times New Roman" w:eastAsia="宋体" w:hAnsi="Times New Roman" w:cs="Times New Roman" w:hint="eastAsia"/>
          <w:sz w:val="24"/>
          <w:szCs w:val="24"/>
        </w:rPr>
        <w:t>I</w:t>
      </w:r>
      <w:r w:rsidRPr="006F57AF">
        <w:rPr>
          <w:rFonts w:ascii="Times New Roman" w:eastAsia="宋体" w:hAnsi="Times New Roman" w:cs="Times New Roman"/>
          <w:sz w:val="24"/>
          <w:szCs w:val="24"/>
        </w:rPr>
        <w:t>MS</w:t>
      </w:r>
      <w:r w:rsidRPr="006F57AF">
        <w:rPr>
          <w:rFonts w:ascii="Times New Roman" w:eastAsia="宋体" w:hAnsi="Times New Roman" w:cs="Times New Roman" w:hint="eastAsia"/>
          <w:sz w:val="24"/>
          <w:szCs w:val="24"/>
        </w:rPr>
        <w:t>数据显示，</w:t>
      </w:r>
      <w:r w:rsidRPr="006F57AF">
        <w:rPr>
          <w:rFonts w:ascii="Times New Roman" w:eastAsia="宋体" w:hAnsi="Times New Roman" w:cs="Times New Roman" w:hint="eastAsia"/>
          <w:sz w:val="24"/>
          <w:szCs w:val="24"/>
        </w:rPr>
        <w:t>2</w:t>
      </w:r>
      <w:r w:rsidRPr="006F57AF">
        <w:rPr>
          <w:rFonts w:ascii="Times New Roman" w:eastAsia="宋体" w:hAnsi="Times New Roman" w:cs="Times New Roman"/>
          <w:sz w:val="24"/>
          <w:szCs w:val="24"/>
        </w:rPr>
        <w:t>008</w:t>
      </w:r>
      <w:r w:rsidRPr="006F57AF">
        <w:rPr>
          <w:rFonts w:ascii="Times New Roman" w:eastAsia="宋体" w:hAnsi="Times New Roman" w:cs="Times New Roman" w:hint="eastAsia"/>
          <w:sz w:val="24"/>
          <w:szCs w:val="24"/>
        </w:rPr>
        <w:t>年我国</w:t>
      </w:r>
      <w:r w:rsidRPr="006F57AF">
        <w:rPr>
          <w:rFonts w:ascii="Times New Roman" w:eastAsia="宋体" w:hAnsi="Times New Roman" w:cs="Times New Roman" w:hint="eastAsia"/>
          <w:sz w:val="24"/>
          <w:szCs w:val="24"/>
        </w:rPr>
        <w:t>P</w:t>
      </w:r>
      <w:r w:rsidRPr="006F57AF">
        <w:rPr>
          <w:rFonts w:ascii="Times New Roman" w:eastAsia="宋体" w:hAnsi="Times New Roman" w:cs="Times New Roman"/>
          <w:sz w:val="24"/>
          <w:szCs w:val="24"/>
        </w:rPr>
        <w:t>PI</w:t>
      </w:r>
      <w:r w:rsidRPr="006F57AF">
        <w:rPr>
          <w:rFonts w:ascii="Times New Roman" w:eastAsia="宋体" w:hAnsi="Times New Roman" w:cs="Times New Roman" w:hint="eastAsia"/>
          <w:sz w:val="24"/>
          <w:szCs w:val="24"/>
        </w:rPr>
        <w:t>总销售金额约为</w:t>
      </w:r>
      <w:r w:rsidRPr="006F57AF">
        <w:rPr>
          <w:rFonts w:ascii="Times New Roman" w:eastAsia="宋体" w:hAnsi="Times New Roman" w:cs="Times New Roman" w:hint="eastAsia"/>
          <w:sz w:val="24"/>
          <w:szCs w:val="24"/>
        </w:rPr>
        <w:t>5</w:t>
      </w:r>
      <w:r w:rsidRPr="006F57AF">
        <w:rPr>
          <w:rFonts w:ascii="Times New Roman" w:eastAsia="宋体" w:hAnsi="Times New Roman" w:cs="Times New Roman"/>
          <w:sz w:val="24"/>
          <w:szCs w:val="24"/>
        </w:rPr>
        <w:t>4.</w:t>
      </w:r>
      <w:r w:rsidRPr="006F57AF">
        <w:rPr>
          <w:rFonts w:ascii="Times New Roman" w:eastAsia="宋体" w:hAnsi="Times New Roman" w:cs="Times New Roman" w:hint="eastAsia"/>
          <w:sz w:val="24"/>
          <w:szCs w:val="24"/>
        </w:rPr>
        <w:t>1</w:t>
      </w:r>
      <w:r w:rsidRPr="006F57AF">
        <w:rPr>
          <w:rFonts w:ascii="Times New Roman" w:eastAsia="宋体" w:hAnsi="Times New Roman" w:cs="Times New Roman" w:hint="eastAsia"/>
          <w:sz w:val="24"/>
          <w:szCs w:val="24"/>
        </w:rPr>
        <w:t>亿元（其中口服</w:t>
      </w:r>
      <w:r w:rsidRPr="006F57AF">
        <w:rPr>
          <w:rFonts w:ascii="Times New Roman" w:eastAsia="宋体" w:hAnsi="Times New Roman" w:cs="Times New Roman" w:hint="eastAsia"/>
          <w:sz w:val="24"/>
          <w:szCs w:val="24"/>
        </w:rPr>
        <w:t>1</w:t>
      </w:r>
      <w:r w:rsidRPr="006F57AF">
        <w:rPr>
          <w:rFonts w:ascii="Times New Roman" w:eastAsia="宋体" w:hAnsi="Times New Roman" w:cs="Times New Roman"/>
          <w:sz w:val="24"/>
          <w:szCs w:val="24"/>
        </w:rPr>
        <w:t>6.8</w:t>
      </w:r>
      <w:r w:rsidRPr="006F57AF">
        <w:rPr>
          <w:rFonts w:ascii="Times New Roman" w:eastAsia="宋体" w:hAnsi="Times New Roman" w:cs="Times New Roman" w:hint="eastAsia"/>
          <w:sz w:val="24"/>
          <w:szCs w:val="24"/>
        </w:rPr>
        <w:t>亿元，针剂</w:t>
      </w:r>
      <w:r w:rsidRPr="006F57AF">
        <w:rPr>
          <w:rFonts w:ascii="Times New Roman" w:eastAsia="宋体" w:hAnsi="Times New Roman" w:cs="Times New Roman" w:hint="eastAsia"/>
          <w:sz w:val="24"/>
          <w:szCs w:val="24"/>
        </w:rPr>
        <w:t>3</w:t>
      </w:r>
      <w:r w:rsidRPr="006F57AF">
        <w:rPr>
          <w:rFonts w:ascii="Times New Roman" w:eastAsia="宋体" w:hAnsi="Times New Roman" w:cs="Times New Roman"/>
          <w:sz w:val="24"/>
          <w:szCs w:val="24"/>
        </w:rPr>
        <w:t>7.3</w:t>
      </w:r>
      <w:r w:rsidRPr="006F57AF">
        <w:rPr>
          <w:rFonts w:ascii="Times New Roman" w:eastAsia="宋体" w:hAnsi="Times New Roman" w:cs="Times New Roman" w:hint="eastAsia"/>
          <w:sz w:val="24"/>
          <w:szCs w:val="24"/>
        </w:rPr>
        <w:t>亿元），</w:t>
      </w:r>
      <w:r w:rsidRPr="006F57AF">
        <w:rPr>
          <w:rFonts w:ascii="Times New Roman" w:eastAsia="宋体" w:hAnsi="Times New Roman" w:cs="Times New Roman" w:hint="eastAsia"/>
          <w:sz w:val="24"/>
          <w:szCs w:val="24"/>
        </w:rPr>
        <w:t>2</w:t>
      </w:r>
      <w:r w:rsidRPr="006F57AF">
        <w:rPr>
          <w:rFonts w:ascii="Times New Roman" w:eastAsia="宋体" w:hAnsi="Times New Roman" w:cs="Times New Roman"/>
          <w:sz w:val="24"/>
          <w:szCs w:val="24"/>
        </w:rPr>
        <w:t>017</w:t>
      </w:r>
      <w:r w:rsidRPr="006F57AF">
        <w:rPr>
          <w:rFonts w:ascii="Times New Roman" w:eastAsia="宋体" w:hAnsi="Times New Roman" w:cs="Times New Roman" w:hint="eastAsia"/>
          <w:sz w:val="24"/>
          <w:szCs w:val="24"/>
        </w:rPr>
        <w:t>年为</w:t>
      </w:r>
      <w:r w:rsidRPr="006F57AF">
        <w:rPr>
          <w:rFonts w:ascii="Times New Roman" w:eastAsia="宋体" w:hAnsi="Times New Roman" w:cs="Times New Roman" w:hint="eastAsia"/>
          <w:sz w:val="24"/>
          <w:szCs w:val="24"/>
        </w:rPr>
        <w:t>2</w:t>
      </w:r>
      <w:r w:rsidRPr="006F57AF">
        <w:rPr>
          <w:rFonts w:ascii="Times New Roman" w:eastAsia="宋体" w:hAnsi="Times New Roman" w:cs="Times New Roman"/>
          <w:sz w:val="24"/>
          <w:szCs w:val="24"/>
        </w:rPr>
        <w:t>35.6</w:t>
      </w:r>
      <w:r w:rsidRPr="006F57AF">
        <w:rPr>
          <w:rFonts w:ascii="Times New Roman" w:eastAsia="宋体" w:hAnsi="Times New Roman" w:cs="Times New Roman" w:hint="eastAsia"/>
          <w:sz w:val="24"/>
          <w:szCs w:val="24"/>
        </w:rPr>
        <w:t>亿元（其中</w:t>
      </w:r>
      <w:proofErr w:type="gramStart"/>
      <w:r w:rsidRPr="006F57AF">
        <w:rPr>
          <w:rFonts w:ascii="Times New Roman" w:eastAsia="宋体" w:hAnsi="Times New Roman" w:cs="Times New Roman" w:hint="eastAsia"/>
          <w:sz w:val="24"/>
          <w:szCs w:val="24"/>
        </w:rPr>
        <w:t>口服占</w:t>
      </w:r>
      <w:proofErr w:type="gramEnd"/>
      <w:r w:rsidRPr="006F57AF">
        <w:rPr>
          <w:rFonts w:ascii="Times New Roman" w:eastAsia="宋体" w:hAnsi="Times New Roman" w:cs="Times New Roman" w:hint="eastAsia"/>
          <w:sz w:val="24"/>
          <w:szCs w:val="24"/>
        </w:rPr>
        <w:t>6</w:t>
      </w:r>
      <w:r w:rsidRPr="006F57AF">
        <w:rPr>
          <w:rFonts w:ascii="Times New Roman" w:eastAsia="宋体" w:hAnsi="Times New Roman" w:cs="Times New Roman"/>
          <w:sz w:val="24"/>
          <w:szCs w:val="24"/>
        </w:rPr>
        <w:t>7.9</w:t>
      </w:r>
      <w:r w:rsidRPr="006F57AF">
        <w:rPr>
          <w:rFonts w:ascii="Times New Roman" w:eastAsia="宋体" w:hAnsi="Times New Roman" w:cs="Times New Roman" w:hint="eastAsia"/>
          <w:sz w:val="24"/>
          <w:szCs w:val="24"/>
        </w:rPr>
        <w:t>亿元，针剂为</w:t>
      </w:r>
      <w:r w:rsidRPr="006F57AF">
        <w:rPr>
          <w:rFonts w:ascii="Times New Roman" w:eastAsia="宋体" w:hAnsi="Times New Roman" w:cs="Times New Roman" w:hint="eastAsia"/>
          <w:sz w:val="24"/>
          <w:szCs w:val="24"/>
        </w:rPr>
        <w:t>1</w:t>
      </w:r>
      <w:r w:rsidRPr="006F57AF">
        <w:rPr>
          <w:rFonts w:ascii="Times New Roman" w:eastAsia="宋体" w:hAnsi="Times New Roman" w:cs="Times New Roman"/>
          <w:sz w:val="24"/>
          <w:szCs w:val="24"/>
        </w:rPr>
        <w:t>67.7</w:t>
      </w:r>
      <w:r w:rsidRPr="006F57AF">
        <w:rPr>
          <w:rFonts w:ascii="Times New Roman" w:eastAsia="宋体" w:hAnsi="Times New Roman" w:cs="Times New Roman" w:hint="eastAsia"/>
          <w:sz w:val="24"/>
          <w:szCs w:val="24"/>
        </w:rPr>
        <w:t>亿元），仅次于抗生素。一项国内研究显示从</w:t>
      </w:r>
      <w:r w:rsidRPr="006F57AF">
        <w:rPr>
          <w:rFonts w:ascii="Times New Roman" w:eastAsia="宋体" w:hAnsi="Times New Roman" w:cs="Times New Roman"/>
          <w:sz w:val="24"/>
          <w:szCs w:val="24"/>
        </w:rPr>
        <w:t>2004</w:t>
      </w:r>
      <w:r w:rsidRPr="006F57AF">
        <w:rPr>
          <w:rFonts w:ascii="Times New Roman" w:eastAsia="宋体" w:hAnsi="Times New Roman" w:cs="Times New Roman"/>
          <w:sz w:val="24"/>
          <w:szCs w:val="24"/>
        </w:rPr>
        <w:t>年到</w:t>
      </w:r>
      <w:r w:rsidRPr="006F57AF">
        <w:rPr>
          <w:rFonts w:ascii="Times New Roman" w:eastAsia="宋体" w:hAnsi="Times New Roman" w:cs="Times New Roman"/>
          <w:sz w:val="24"/>
          <w:szCs w:val="24"/>
        </w:rPr>
        <w:t>2013</w:t>
      </w:r>
      <w:r w:rsidRPr="006F57AF">
        <w:rPr>
          <w:rFonts w:ascii="Times New Roman" w:eastAsia="宋体" w:hAnsi="Times New Roman" w:cs="Times New Roman"/>
          <w:sz w:val="24"/>
          <w:szCs w:val="24"/>
        </w:rPr>
        <w:t>年</w:t>
      </w:r>
      <w:r w:rsidRPr="006F57AF">
        <w:rPr>
          <w:rFonts w:ascii="Times New Roman" w:eastAsia="宋体" w:hAnsi="Times New Roman" w:cs="Times New Roman"/>
          <w:sz w:val="24"/>
          <w:szCs w:val="24"/>
        </w:rPr>
        <w:t>10</w:t>
      </w:r>
      <w:r w:rsidRPr="006F57AF">
        <w:rPr>
          <w:rFonts w:ascii="Times New Roman" w:eastAsia="宋体" w:hAnsi="Times New Roman" w:cs="Times New Roman"/>
          <w:sz w:val="24"/>
          <w:szCs w:val="24"/>
        </w:rPr>
        <w:t>年间</w:t>
      </w:r>
      <w:r w:rsidRPr="006F57AF">
        <w:rPr>
          <w:rFonts w:ascii="Times New Roman" w:eastAsia="宋体" w:hAnsi="Times New Roman" w:cs="Times New Roman"/>
          <w:sz w:val="24"/>
          <w:szCs w:val="24"/>
        </w:rPr>
        <w:t>PPI</w:t>
      </w:r>
      <w:r w:rsidRPr="006F57AF">
        <w:rPr>
          <w:rFonts w:ascii="Times New Roman" w:eastAsia="宋体" w:hAnsi="Times New Roman" w:cs="Times New Roman" w:hint="eastAsia"/>
          <w:sz w:val="24"/>
          <w:szCs w:val="24"/>
        </w:rPr>
        <w:t>处方量增长</w:t>
      </w:r>
      <w:r w:rsidRPr="006F57AF">
        <w:rPr>
          <w:rFonts w:ascii="Times New Roman" w:eastAsia="宋体" w:hAnsi="Times New Roman" w:cs="Times New Roman"/>
          <w:sz w:val="24"/>
          <w:szCs w:val="24"/>
        </w:rPr>
        <w:t>10.4</w:t>
      </w:r>
      <w:r w:rsidRPr="006F57AF">
        <w:rPr>
          <w:rFonts w:ascii="Times New Roman" w:eastAsia="宋体" w:hAnsi="Times New Roman" w:cs="Times New Roman" w:hint="eastAsia"/>
          <w:sz w:val="24"/>
          <w:szCs w:val="24"/>
        </w:rPr>
        <w:t>倍，</w:t>
      </w:r>
      <w:r w:rsidRPr="006F57AF">
        <w:rPr>
          <w:rFonts w:ascii="Times New Roman" w:eastAsia="宋体" w:hAnsi="Times New Roman" w:cs="Times New Roman"/>
          <w:sz w:val="24"/>
          <w:szCs w:val="24"/>
        </w:rPr>
        <w:t>PPI</w:t>
      </w:r>
      <w:r w:rsidRPr="006F57AF">
        <w:rPr>
          <w:rFonts w:ascii="Times New Roman" w:eastAsia="宋体" w:hAnsi="Times New Roman" w:cs="Times New Roman" w:hint="eastAsia"/>
          <w:sz w:val="24"/>
          <w:szCs w:val="24"/>
        </w:rPr>
        <w:t>支出增长</w:t>
      </w:r>
      <w:r w:rsidRPr="006F57AF">
        <w:rPr>
          <w:rFonts w:ascii="Times New Roman" w:eastAsia="宋体" w:hAnsi="Times New Roman" w:cs="Times New Roman"/>
          <w:sz w:val="24"/>
          <w:szCs w:val="24"/>
        </w:rPr>
        <w:t>10.1</w:t>
      </w:r>
      <w:r w:rsidRPr="006F57AF">
        <w:rPr>
          <w:rFonts w:ascii="Times New Roman" w:eastAsia="宋体" w:hAnsi="Times New Roman" w:cs="Times New Roman" w:hint="eastAsia"/>
          <w:sz w:val="24"/>
          <w:szCs w:val="24"/>
        </w:rPr>
        <w:t>倍</w:t>
      </w:r>
      <w:r w:rsidRPr="006F57AF">
        <w:rPr>
          <w:rFonts w:ascii="Times New Roman" w:eastAsia="宋体" w:hAnsi="Times New Roman" w:cs="Times New Roman"/>
          <w:sz w:val="24"/>
          <w:szCs w:val="24"/>
          <w:vertAlign w:val="superscript"/>
        </w:rPr>
        <w:t>[1]</w:t>
      </w:r>
      <w:r w:rsidRPr="006F57AF">
        <w:rPr>
          <w:rFonts w:ascii="Times New Roman" w:eastAsia="宋体" w:hAnsi="Times New Roman" w:cs="Times New Roman" w:hint="eastAsia"/>
          <w:sz w:val="24"/>
          <w:szCs w:val="24"/>
        </w:rPr>
        <w:t>。</w:t>
      </w:r>
      <w:r w:rsidRPr="006F57AF">
        <w:rPr>
          <w:rFonts w:ascii="Times New Roman" w:eastAsia="宋体" w:hAnsi="Times New Roman" w:cs="Times New Roman"/>
          <w:sz w:val="24"/>
          <w:szCs w:val="24"/>
        </w:rPr>
        <w:t>PPI</w:t>
      </w:r>
      <w:r w:rsidRPr="006F57AF">
        <w:rPr>
          <w:rFonts w:ascii="Times New Roman" w:eastAsia="宋体" w:hAnsi="Times New Roman" w:cs="Times New Roman" w:hint="eastAsia"/>
          <w:sz w:val="24"/>
          <w:szCs w:val="24"/>
        </w:rPr>
        <w:t>不合理使用是一个全球性问题，一项对欧美国家</w:t>
      </w:r>
      <w:r w:rsidRPr="006F57AF">
        <w:rPr>
          <w:rFonts w:ascii="Times New Roman" w:eastAsia="宋体" w:hAnsi="Times New Roman" w:cs="Times New Roman" w:hint="eastAsia"/>
          <w:sz w:val="24"/>
          <w:szCs w:val="24"/>
        </w:rPr>
        <w:t>P</w:t>
      </w:r>
      <w:r w:rsidRPr="006F57AF">
        <w:rPr>
          <w:rFonts w:ascii="Times New Roman" w:eastAsia="宋体" w:hAnsi="Times New Roman" w:cs="Times New Roman"/>
          <w:sz w:val="24"/>
          <w:szCs w:val="24"/>
        </w:rPr>
        <w:t>PI</w:t>
      </w:r>
      <w:r w:rsidRPr="006F57AF">
        <w:rPr>
          <w:rFonts w:ascii="Times New Roman" w:eastAsia="宋体" w:hAnsi="Times New Roman" w:cs="Times New Roman" w:hint="eastAsia"/>
          <w:sz w:val="24"/>
          <w:szCs w:val="24"/>
        </w:rPr>
        <w:t>使用的文献分析显示，平均</w:t>
      </w:r>
      <w:r w:rsidRPr="006F57AF">
        <w:rPr>
          <w:rFonts w:ascii="Times New Roman" w:eastAsia="宋体" w:hAnsi="Times New Roman" w:cs="Times New Roman" w:hint="eastAsia"/>
          <w:sz w:val="24"/>
          <w:szCs w:val="24"/>
        </w:rPr>
        <w:t>P</w:t>
      </w:r>
      <w:r w:rsidRPr="006F57AF">
        <w:rPr>
          <w:rFonts w:ascii="Times New Roman" w:eastAsia="宋体" w:hAnsi="Times New Roman" w:cs="Times New Roman"/>
          <w:sz w:val="24"/>
          <w:szCs w:val="24"/>
        </w:rPr>
        <w:t>PI</w:t>
      </w:r>
      <w:r w:rsidRPr="006F57AF">
        <w:rPr>
          <w:rFonts w:ascii="Times New Roman" w:eastAsia="宋体" w:hAnsi="Times New Roman" w:cs="Times New Roman" w:hint="eastAsia"/>
          <w:sz w:val="24"/>
          <w:szCs w:val="24"/>
        </w:rPr>
        <w:t>不合理使用率高达</w:t>
      </w:r>
      <w:r w:rsidRPr="006F57AF">
        <w:rPr>
          <w:rFonts w:ascii="Times New Roman" w:eastAsia="宋体" w:hAnsi="Times New Roman" w:cs="Times New Roman" w:hint="eastAsia"/>
          <w:sz w:val="24"/>
          <w:szCs w:val="24"/>
        </w:rPr>
        <w:t>57%</w:t>
      </w:r>
      <w:r w:rsidRPr="006F57AF">
        <w:rPr>
          <w:rFonts w:ascii="Times New Roman" w:eastAsia="宋体" w:hAnsi="Times New Roman" w:cs="Times New Roman"/>
          <w:sz w:val="24"/>
          <w:szCs w:val="24"/>
          <w:vertAlign w:val="superscript"/>
        </w:rPr>
        <w:t>[2]</w:t>
      </w:r>
      <w:r w:rsidRPr="006F57AF">
        <w:rPr>
          <w:rFonts w:ascii="Times New Roman" w:eastAsia="宋体" w:hAnsi="Times New Roman" w:cs="Times New Roman" w:hint="eastAsia"/>
          <w:sz w:val="24"/>
          <w:szCs w:val="24"/>
        </w:rPr>
        <w:t>。国内相关报道显示，</w:t>
      </w:r>
      <w:r w:rsidRPr="006F57AF">
        <w:rPr>
          <w:rFonts w:ascii="Times New Roman" w:eastAsia="宋体" w:hAnsi="Times New Roman" w:cs="Times New Roman" w:hint="eastAsia"/>
          <w:sz w:val="24"/>
          <w:szCs w:val="24"/>
        </w:rPr>
        <w:t>77%</w:t>
      </w:r>
      <w:r w:rsidRPr="006F57AF">
        <w:rPr>
          <w:rFonts w:ascii="Times New Roman" w:eastAsia="宋体" w:hAnsi="Times New Roman" w:cs="Times New Roman" w:hint="eastAsia"/>
          <w:sz w:val="24"/>
          <w:szCs w:val="24"/>
        </w:rPr>
        <w:t>以上使用</w:t>
      </w:r>
      <w:r w:rsidRPr="006F57AF">
        <w:rPr>
          <w:rFonts w:ascii="Times New Roman" w:eastAsia="宋体" w:hAnsi="Times New Roman" w:cs="Times New Roman" w:hint="eastAsia"/>
          <w:sz w:val="24"/>
          <w:szCs w:val="24"/>
        </w:rPr>
        <w:t>PPI</w:t>
      </w:r>
      <w:r w:rsidRPr="006F57AF">
        <w:rPr>
          <w:rFonts w:ascii="Times New Roman" w:eastAsia="宋体" w:hAnsi="Times New Roman" w:cs="Times New Roman" w:hint="eastAsia"/>
          <w:sz w:val="24"/>
          <w:szCs w:val="24"/>
        </w:rPr>
        <w:t>的住院患者属于预防性用药</w:t>
      </w:r>
      <w:bookmarkStart w:id="1" w:name="_Hlk6996382"/>
      <w:r w:rsidRPr="006F57AF">
        <w:rPr>
          <w:rFonts w:ascii="Times New Roman" w:eastAsia="宋体" w:hAnsi="Times New Roman" w:cs="Times New Roman" w:hint="eastAsia"/>
          <w:sz w:val="24"/>
          <w:szCs w:val="24"/>
          <w:vertAlign w:val="superscript"/>
        </w:rPr>
        <w:t>[</w:t>
      </w:r>
      <w:r w:rsidRPr="006F57AF">
        <w:rPr>
          <w:rFonts w:ascii="Times New Roman" w:eastAsia="宋体" w:hAnsi="Times New Roman" w:cs="Times New Roman"/>
          <w:sz w:val="24"/>
          <w:szCs w:val="24"/>
          <w:vertAlign w:val="superscript"/>
        </w:rPr>
        <w:t>3]</w:t>
      </w:r>
      <w:bookmarkEnd w:id="1"/>
      <w:r w:rsidRPr="006F57AF">
        <w:rPr>
          <w:rFonts w:ascii="Times New Roman" w:eastAsia="宋体" w:hAnsi="Times New Roman" w:cs="Times New Roman" w:hint="eastAsia"/>
          <w:sz w:val="24"/>
          <w:szCs w:val="24"/>
        </w:rPr>
        <w:t>，门诊处方中符合</w:t>
      </w:r>
      <w:r w:rsidRPr="006F57AF">
        <w:rPr>
          <w:rFonts w:ascii="Times New Roman" w:eastAsia="宋体" w:hAnsi="Times New Roman" w:cs="Times New Roman" w:hint="eastAsia"/>
          <w:sz w:val="24"/>
          <w:szCs w:val="24"/>
        </w:rPr>
        <w:t>PPI</w:t>
      </w:r>
      <w:r w:rsidRPr="006F57AF">
        <w:rPr>
          <w:rFonts w:ascii="Times New Roman" w:eastAsia="宋体" w:hAnsi="Times New Roman" w:cs="Times New Roman" w:hint="eastAsia"/>
          <w:sz w:val="24"/>
          <w:szCs w:val="24"/>
        </w:rPr>
        <w:t>适应证者亦不足</w:t>
      </w:r>
      <w:r w:rsidRPr="006F57AF">
        <w:rPr>
          <w:rFonts w:ascii="Times New Roman" w:eastAsia="宋体" w:hAnsi="Times New Roman" w:cs="Times New Roman" w:hint="eastAsia"/>
          <w:sz w:val="24"/>
          <w:szCs w:val="24"/>
        </w:rPr>
        <w:t>40%</w:t>
      </w:r>
      <w:r w:rsidRPr="006F57AF">
        <w:rPr>
          <w:rFonts w:ascii="Times New Roman" w:eastAsia="宋体" w:hAnsi="Times New Roman" w:cs="Times New Roman"/>
          <w:sz w:val="24"/>
          <w:szCs w:val="24"/>
          <w:vertAlign w:val="superscript"/>
        </w:rPr>
        <w:t>[4]</w:t>
      </w:r>
      <w:r w:rsidRPr="006F57AF">
        <w:rPr>
          <w:rFonts w:ascii="Times New Roman" w:eastAsia="宋体" w:hAnsi="Times New Roman" w:cs="Times New Roman" w:hint="eastAsia"/>
          <w:sz w:val="24"/>
          <w:szCs w:val="24"/>
        </w:rPr>
        <w:t>。国内一项针对住院患者进行的研究结果显示，在</w:t>
      </w:r>
      <w:r w:rsidRPr="006F57AF">
        <w:rPr>
          <w:rFonts w:ascii="Times New Roman" w:eastAsia="宋体" w:hAnsi="Times New Roman" w:cs="Times New Roman" w:hint="eastAsia"/>
          <w:sz w:val="24"/>
          <w:szCs w:val="24"/>
        </w:rPr>
        <w:t>759</w:t>
      </w:r>
      <w:r w:rsidRPr="006F57AF">
        <w:rPr>
          <w:rFonts w:ascii="Times New Roman" w:eastAsia="宋体" w:hAnsi="Times New Roman" w:cs="Times New Roman" w:hint="eastAsia"/>
          <w:sz w:val="24"/>
          <w:szCs w:val="24"/>
        </w:rPr>
        <w:t>例接受</w:t>
      </w:r>
      <w:r w:rsidRPr="006F57AF">
        <w:rPr>
          <w:rFonts w:ascii="Times New Roman" w:eastAsia="宋体" w:hAnsi="Times New Roman" w:cs="Times New Roman" w:hint="eastAsia"/>
          <w:sz w:val="24"/>
          <w:szCs w:val="24"/>
        </w:rPr>
        <w:t>PPI</w:t>
      </w:r>
      <w:r w:rsidRPr="006F57AF">
        <w:rPr>
          <w:rFonts w:ascii="Times New Roman" w:eastAsia="宋体" w:hAnsi="Times New Roman" w:cs="Times New Roman" w:hint="eastAsia"/>
          <w:sz w:val="24"/>
          <w:szCs w:val="24"/>
        </w:rPr>
        <w:t>药物治疗的患者中，预防性使用的</w:t>
      </w:r>
      <w:proofErr w:type="gramStart"/>
      <w:r w:rsidRPr="006F57AF">
        <w:rPr>
          <w:rFonts w:ascii="Times New Roman" w:eastAsia="宋体" w:hAnsi="Times New Roman" w:cs="Times New Roman" w:hint="eastAsia"/>
          <w:sz w:val="24"/>
          <w:szCs w:val="24"/>
        </w:rPr>
        <w:t>的</w:t>
      </w:r>
      <w:proofErr w:type="gramEnd"/>
      <w:r w:rsidRPr="006F57AF">
        <w:rPr>
          <w:rFonts w:ascii="Times New Roman" w:eastAsia="宋体" w:hAnsi="Times New Roman" w:cs="Times New Roman" w:hint="eastAsia"/>
          <w:sz w:val="24"/>
          <w:szCs w:val="24"/>
        </w:rPr>
        <w:t>比例高达</w:t>
      </w:r>
      <w:r w:rsidRPr="006F57AF">
        <w:rPr>
          <w:rFonts w:ascii="Times New Roman" w:eastAsia="宋体" w:hAnsi="Times New Roman" w:cs="Times New Roman"/>
          <w:sz w:val="24"/>
          <w:szCs w:val="24"/>
        </w:rPr>
        <w:t>67.98</w:t>
      </w:r>
      <w:r w:rsidRPr="006F57AF">
        <w:rPr>
          <w:rFonts w:ascii="Times New Roman" w:eastAsia="宋体" w:hAnsi="Times New Roman" w:cs="Times New Roman" w:hint="eastAsia"/>
          <w:sz w:val="24"/>
          <w:szCs w:val="24"/>
        </w:rPr>
        <w:t xml:space="preserve">% </w:t>
      </w:r>
      <w:r w:rsidRPr="006F57AF">
        <w:rPr>
          <w:rFonts w:ascii="Times New Roman" w:eastAsia="宋体" w:hAnsi="Times New Roman" w:cs="Times New Roman" w:hint="eastAsia"/>
          <w:sz w:val="24"/>
          <w:szCs w:val="24"/>
        </w:rPr>
        <w:t>；其中，</w:t>
      </w:r>
      <w:r w:rsidRPr="006F57AF">
        <w:rPr>
          <w:rFonts w:ascii="Times New Roman" w:eastAsia="宋体" w:hAnsi="Times New Roman" w:cs="Times New Roman" w:hint="eastAsia"/>
          <w:sz w:val="24"/>
          <w:szCs w:val="24"/>
        </w:rPr>
        <w:t>296</w:t>
      </w:r>
      <w:r w:rsidRPr="006F57AF">
        <w:rPr>
          <w:rFonts w:ascii="Times New Roman" w:eastAsia="宋体" w:hAnsi="Times New Roman" w:cs="Times New Roman" w:hint="eastAsia"/>
          <w:sz w:val="24"/>
          <w:szCs w:val="24"/>
        </w:rPr>
        <w:t>例未合理使用</w:t>
      </w:r>
      <w:r w:rsidRPr="006F57AF">
        <w:rPr>
          <w:rFonts w:ascii="Times New Roman" w:eastAsia="宋体" w:hAnsi="Times New Roman" w:cs="Times New Roman" w:hint="eastAsia"/>
          <w:sz w:val="24"/>
          <w:szCs w:val="24"/>
        </w:rPr>
        <w:t>PPI</w:t>
      </w:r>
      <w:r w:rsidRPr="006F57AF">
        <w:rPr>
          <w:rFonts w:ascii="Times New Roman" w:eastAsia="宋体" w:hAnsi="Times New Roman" w:cs="Times New Roman" w:hint="eastAsia"/>
          <w:sz w:val="24"/>
          <w:szCs w:val="24"/>
        </w:rPr>
        <w:t>药物的患者中，无适应证用药最为常见，占</w:t>
      </w:r>
      <w:r w:rsidRPr="006F57AF">
        <w:rPr>
          <w:rFonts w:ascii="Times New Roman" w:eastAsia="宋体" w:hAnsi="Times New Roman" w:cs="Times New Roman" w:hint="eastAsia"/>
          <w:sz w:val="24"/>
          <w:szCs w:val="24"/>
        </w:rPr>
        <w:t>67.23%</w:t>
      </w:r>
      <w:r w:rsidRPr="006F57AF">
        <w:rPr>
          <w:rFonts w:ascii="Times New Roman" w:eastAsia="宋体" w:hAnsi="Times New Roman" w:cs="Times New Roman" w:hint="eastAsia"/>
          <w:sz w:val="24"/>
          <w:szCs w:val="24"/>
        </w:rPr>
        <w:t>；其次为用法用量不适宜、溶剂选择不当、存在药物相互作用、用药疗程过长等</w:t>
      </w:r>
      <w:r w:rsidRPr="006F57AF">
        <w:rPr>
          <w:rFonts w:ascii="Times New Roman" w:eastAsia="宋体" w:hAnsi="Times New Roman" w:cs="Times New Roman" w:hint="eastAsia"/>
          <w:sz w:val="24"/>
          <w:szCs w:val="24"/>
          <w:vertAlign w:val="superscript"/>
        </w:rPr>
        <w:t>[</w:t>
      </w:r>
      <w:r w:rsidRPr="006F57AF">
        <w:rPr>
          <w:rFonts w:ascii="Times New Roman" w:eastAsia="宋体" w:hAnsi="Times New Roman" w:cs="Times New Roman"/>
          <w:sz w:val="24"/>
          <w:szCs w:val="24"/>
          <w:vertAlign w:val="superscript"/>
        </w:rPr>
        <w:t>3]</w:t>
      </w:r>
      <w:r w:rsidRPr="006F57AF">
        <w:rPr>
          <w:rFonts w:ascii="Times New Roman" w:eastAsia="宋体" w:hAnsi="Times New Roman" w:cs="Times New Roman" w:hint="eastAsia"/>
          <w:sz w:val="24"/>
          <w:szCs w:val="24"/>
        </w:rPr>
        <w:t>。</w:t>
      </w:r>
    </w:p>
    <w:p w:rsidR="007A5BD9" w:rsidRDefault="006F57AF" w:rsidP="00703EA2">
      <w:pPr>
        <w:spacing w:after="0" w:line="276" w:lineRule="auto"/>
        <w:ind w:firstLineChars="200" w:firstLine="480"/>
        <w:jc w:val="both"/>
        <w:rPr>
          <w:rFonts w:ascii="Times New Roman" w:eastAsia="宋体" w:hAnsi="Times New Roman" w:cs="Times New Roman"/>
          <w:sz w:val="24"/>
          <w:szCs w:val="24"/>
        </w:rPr>
      </w:pPr>
      <w:r w:rsidRPr="006F57AF">
        <w:rPr>
          <w:rFonts w:ascii="Times New Roman" w:eastAsia="宋体" w:hAnsi="Times New Roman" w:cs="Times New Roman" w:hint="eastAsia"/>
          <w:sz w:val="24"/>
          <w:szCs w:val="24"/>
        </w:rPr>
        <w:t>目前</w:t>
      </w:r>
      <w:r w:rsidRPr="006F57AF">
        <w:rPr>
          <w:rFonts w:ascii="Times New Roman" w:eastAsia="宋体" w:hAnsi="Times New Roman" w:cs="Times New Roman" w:hint="eastAsia"/>
          <w:sz w:val="24"/>
          <w:szCs w:val="24"/>
        </w:rPr>
        <w:t>P</w:t>
      </w:r>
      <w:r w:rsidRPr="006F57AF">
        <w:rPr>
          <w:rFonts w:ascii="Times New Roman" w:eastAsia="宋体" w:hAnsi="Times New Roman" w:cs="Times New Roman"/>
          <w:sz w:val="24"/>
          <w:szCs w:val="24"/>
        </w:rPr>
        <w:t>PI</w:t>
      </w:r>
      <w:r w:rsidRPr="006F57AF">
        <w:rPr>
          <w:rFonts w:ascii="Times New Roman" w:eastAsia="宋体" w:hAnsi="Times New Roman" w:cs="Times New Roman" w:hint="eastAsia"/>
          <w:sz w:val="24"/>
          <w:szCs w:val="24"/>
        </w:rPr>
        <w:t>的不合理使用主要表现在预防性用药指征不明确和预防疗程过长。为此，广东省药学会组织药学及临床专家特制定本指导意见，为规范临床预防性使用</w:t>
      </w:r>
      <w:r w:rsidRPr="006F57AF">
        <w:rPr>
          <w:rFonts w:ascii="Times New Roman" w:eastAsia="宋体" w:hAnsi="Times New Roman" w:cs="Times New Roman" w:hint="eastAsia"/>
          <w:sz w:val="24"/>
          <w:szCs w:val="24"/>
        </w:rPr>
        <w:t>P</w:t>
      </w:r>
      <w:r w:rsidRPr="006F57AF">
        <w:rPr>
          <w:rFonts w:ascii="Times New Roman" w:eastAsia="宋体" w:hAnsi="Times New Roman" w:cs="Times New Roman"/>
          <w:sz w:val="24"/>
          <w:szCs w:val="24"/>
        </w:rPr>
        <w:t>PI</w:t>
      </w:r>
      <w:r w:rsidRPr="006F57AF">
        <w:rPr>
          <w:rFonts w:ascii="Times New Roman" w:eastAsia="宋体" w:hAnsi="Times New Roman" w:cs="Times New Roman" w:hint="eastAsia"/>
          <w:sz w:val="24"/>
          <w:szCs w:val="24"/>
        </w:rPr>
        <w:t>提供参考</w:t>
      </w:r>
      <w:r>
        <w:rPr>
          <w:rFonts w:ascii="Times New Roman" w:eastAsia="宋体" w:hAnsi="Times New Roman" w:cs="Times New Roman" w:hint="eastAsia"/>
          <w:sz w:val="24"/>
          <w:szCs w:val="24"/>
        </w:rPr>
        <w:t>。</w:t>
      </w:r>
    </w:p>
    <w:p w:rsidR="006F57AF" w:rsidRDefault="006F57AF" w:rsidP="006F57AF">
      <w:pPr>
        <w:spacing w:after="0" w:line="276" w:lineRule="auto"/>
        <w:ind w:firstLineChars="200" w:firstLine="400"/>
        <w:rPr>
          <w:rFonts w:ascii="微软雅黑" w:eastAsia="微软雅黑" w:hAnsi="微软雅黑" w:cs="Arial"/>
          <w:sz w:val="20"/>
        </w:rPr>
      </w:pPr>
    </w:p>
    <w:p w:rsidR="007A5BD9" w:rsidRPr="006F57AF" w:rsidRDefault="006F57AF">
      <w:pPr>
        <w:rPr>
          <w:rFonts w:ascii="黑体" w:eastAsia="黑体" w:hAnsi="黑体" w:cs="宋体"/>
        </w:rPr>
      </w:pPr>
      <w:r w:rsidRPr="006F57AF">
        <w:rPr>
          <w:rFonts w:ascii="黑体" w:eastAsia="黑体" w:hAnsi="黑体" w:cs="宋体" w:hint="eastAsia"/>
          <w:sz w:val="24"/>
        </w:rPr>
        <w:t>1</w:t>
      </w:r>
      <w:r w:rsidR="007530BA">
        <w:rPr>
          <w:rFonts w:ascii="黑体" w:eastAsia="黑体" w:hAnsi="黑体" w:cs="宋体" w:hint="eastAsia"/>
          <w:sz w:val="24"/>
        </w:rPr>
        <w:t xml:space="preserve">  </w:t>
      </w:r>
      <w:r w:rsidRPr="006F57AF">
        <w:rPr>
          <w:rFonts w:ascii="黑体" w:eastAsia="黑体" w:hAnsi="黑体" w:cs="宋体" w:hint="eastAsia"/>
          <w:sz w:val="24"/>
        </w:rPr>
        <w:t>临床预防性使用</w:t>
      </w:r>
      <w:r w:rsidRPr="002059DE">
        <w:rPr>
          <w:rFonts w:ascii="Times New Roman" w:eastAsia="黑体" w:hAnsi="Times New Roman" w:cs="Times New Roman"/>
          <w:sz w:val="24"/>
        </w:rPr>
        <w:t>PPI</w:t>
      </w:r>
      <w:r w:rsidRPr="006F57AF">
        <w:rPr>
          <w:rFonts w:ascii="黑体" w:eastAsia="黑体" w:hAnsi="黑体" w:cs="宋体" w:hint="eastAsia"/>
          <w:sz w:val="24"/>
        </w:rPr>
        <w:t>的目的</w:t>
      </w:r>
    </w:p>
    <w:p w:rsidR="007A5BD9" w:rsidRPr="006F57AF" w:rsidRDefault="006F57AF" w:rsidP="00703EA2">
      <w:pPr>
        <w:autoSpaceDE w:val="0"/>
        <w:autoSpaceDN w:val="0"/>
        <w:adjustRightInd w:val="0"/>
        <w:spacing w:after="0" w:line="276" w:lineRule="auto"/>
        <w:ind w:firstLineChars="200" w:firstLine="480"/>
        <w:contextualSpacing/>
        <w:jc w:val="both"/>
        <w:rPr>
          <w:rFonts w:ascii="Times New Roman" w:eastAsia="宋体" w:hAnsi="Times New Roman" w:cs="Times New Roman"/>
          <w:sz w:val="24"/>
          <w:szCs w:val="24"/>
        </w:rPr>
      </w:pPr>
      <w:r w:rsidRPr="006F57AF">
        <w:rPr>
          <w:rFonts w:ascii="Times New Roman" w:eastAsia="宋体" w:hAnsi="Times New Roman" w:cs="Times New Roman" w:hint="eastAsia"/>
          <w:sz w:val="24"/>
          <w:szCs w:val="24"/>
        </w:rPr>
        <w:t>正常的胃黏膜屏障能够保护胃黏膜结构和功能的完整性。胃黏膜屏障的保护机制包括黏膜表面富含碳酸氢钠的黏液保护层、黏膜上皮的不断更新、跨黏膜的酸碱交换，以及正常的黏膜微循环。胃黏膜结构和功能的完整性依赖于正常的黏膜保护机制和胃酸分泌之间的平衡。胃黏膜防御功能减弱（如胃黏膜缺血、缺氧等）和胃黏膜损伤因素的相对增强是急性胃黏膜病变的主要机制。临床上最常见的引起胃黏膜病变的原因包括：急性应激反应、药物、创伤以及物理因素等。临床预防性使用</w:t>
      </w:r>
      <w:r w:rsidRPr="006F57AF">
        <w:rPr>
          <w:rFonts w:ascii="Times New Roman" w:eastAsia="宋体" w:hAnsi="Times New Roman" w:cs="Times New Roman" w:hint="eastAsia"/>
          <w:sz w:val="24"/>
          <w:szCs w:val="24"/>
        </w:rPr>
        <w:t>PPI</w:t>
      </w:r>
      <w:r w:rsidRPr="006F57AF">
        <w:rPr>
          <w:rFonts w:ascii="Times New Roman" w:eastAsia="宋体" w:hAnsi="Times New Roman" w:cs="Times New Roman" w:hint="eastAsia"/>
          <w:sz w:val="24"/>
          <w:szCs w:val="24"/>
        </w:rPr>
        <w:t>，可迅速控制并减少胃酸的分泌，明显降低胃酸对黏膜的进一步损害作用。</w:t>
      </w:r>
    </w:p>
    <w:p w:rsidR="007A5BD9" w:rsidRPr="006F57AF" w:rsidRDefault="006F57AF" w:rsidP="00703EA2">
      <w:pPr>
        <w:ind w:firstLineChars="200" w:firstLine="480"/>
        <w:contextualSpacing/>
        <w:jc w:val="both"/>
        <w:rPr>
          <w:rFonts w:ascii="Times New Roman" w:eastAsia="宋体" w:hAnsi="Times New Roman" w:cs="Times New Roman"/>
          <w:sz w:val="24"/>
          <w:szCs w:val="24"/>
        </w:rPr>
      </w:pPr>
      <w:r w:rsidRPr="006F57AF">
        <w:rPr>
          <w:rFonts w:ascii="Times New Roman" w:eastAsia="宋体" w:hAnsi="Times New Roman" w:cs="Times New Roman" w:hint="eastAsia"/>
          <w:sz w:val="24"/>
          <w:szCs w:val="24"/>
        </w:rPr>
        <w:t>近期发表于《</w:t>
      </w:r>
      <w:r w:rsidRPr="006F57AF">
        <w:rPr>
          <w:rFonts w:ascii="Times New Roman" w:eastAsia="宋体" w:hAnsi="Times New Roman" w:cs="Times New Roman"/>
          <w:sz w:val="24"/>
          <w:szCs w:val="24"/>
        </w:rPr>
        <w:t>Lancet Gastroenterology Hepatology</w:t>
      </w:r>
      <w:r w:rsidRPr="006F57AF">
        <w:rPr>
          <w:rFonts w:ascii="Times New Roman" w:eastAsia="宋体" w:hAnsi="Times New Roman" w:cs="Times New Roman" w:hint="eastAsia"/>
          <w:sz w:val="24"/>
          <w:szCs w:val="24"/>
        </w:rPr>
        <w:t>》的荟萃分析，纳入了</w:t>
      </w:r>
      <w:r w:rsidRPr="006F57AF">
        <w:rPr>
          <w:rFonts w:ascii="Times New Roman" w:eastAsia="宋体" w:hAnsi="Times New Roman" w:cs="Times New Roman" w:hint="eastAsia"/>
          <w:sz w:val="24"/>
          <w:szCs w:val="24"/>
        </w:rPr>
        <w:t>5</w:t>
      </w:r>
      <w:r w:rsidRPr="006F57AF">
        <w:rPr>
          <w:rFonts w:ascii="Times New Roman" w:eastAsia="宋体" w:hAnsi="Times New Roman" w:cs="Times New Roman"/>
          <w:sz w:val="24"/>
          <w:szCs w:val="24"/>
        </w:rPr>
        <w:t>80</w:t>
      </w:r>
      <w:r w:rsidRPr="006F57AF">
        <w:rPr>
          <w:rFonts w:ascii="Times New Roman" w:eastAsia="宋体" w:hAnsi="Times New Roman" w:cs="Times New Roman" w:hint="eastAsia"/>
          <w:sz w:val="24"/>
          <w:szCs w:val="24"/>
        </w:rPr>
        <w:t>项预防溃疡病的临床研究，整体受试者超过</w:t>
      </w:r>
      <w:r w:rsidRPr="006F57AF">
        <w:rPr>
          <w:rFonts w:ascii="Times New Roman" w:eastAsia="宋体" w:hAnsi="Times New Roman" w:cs="Times New Roman" w:hint="eastAsia"/>
          <w:sz w:val="24"/>
          <w:szCs w:val="24"/>
        </w:rPr>
        <w:t>11</w:t>
      </w:r>
      <w:r w:rsidRPr="006F57AF">
        <w:rPr>
          <w:rFonts w:ascii="Times New Roman" w:eastAsia="宋体" w:hAnsi="Times New Roman" w:cs="Times New Roman" w:hint="eastAsia"/>
          <w:sz w:val="24"/>
          <w:szCs w:val="24"/>
        </w:rPr>
        <w:t>万人，其结果证实预防性使用</w:t>
      </w:r>
      <w:r w:rsidRPr="006F57AF">
        <w:rPr>
          <w:rFonts w:ascii="Times New Roman" w:eastAsia="宋体" w:hAnsi="Times New Roman" w:cs="Times New Roman" w:hint="eastAsia"/>
          <w:sz w:val="24"/>
          <w:szCs w:val="24"/>
        </w:rPr>
        <w:t>P</w:t>
      </w:r>
      <w:r w:rsidRPr="006F57AF">
        <w:rPr>
          <w:rFonts w:ascii="Times New Roman" w:eastAsia="宋体" w:hAnsi="Times New Roman" w:cs="Times New Roman"/>
          <w:sz w:val="24"/>
          <w:szCs w:val="24"/>
        </w:rPr>
        <w:t>PI</w:t>
      </w:r>
      <w:r w:rsidRPr="006F57AF">
        <w:rPr>
          <w:rFonts w:ascii="Times New Roman" w:eastAsia="宋体" w:hAnsi="Times New Roman" w:cs="Times New Roman" w:hint="eastAsia"/>
          <w:sz w:val="24"/>
          <w:szCs w:val="24"/>
        </w:rPr>
        <w:t>可减少</w:t>
      </w:r>
      <w:r w:rsidRPr="006F57AF">
        <w:rPr>
          <w:rFonts w:ascii="Times New Roman" w:eastAsia="宋体" w:hAnsi="Times New Roman" w:cs="Times New Roman" w:hint="eastAsia"/>
          <w:sz w:val="24"/>
          <w:szCs w:val="24"/>
        </w:rPr>
        <w:t>5</w:t>
      </w:r>
      <w:r w:rsidRPr="006F57AF">
        <w:rPr>
          <w:rFonts w:ascii="Times New Roman" w:eastAsia="宋体" w:hAnsi="Times New Roman" w:cs="Times New Roman" w:hint="eastAsia"/>
          <w:sz w:val="24"/>
          <w:szCs w:val="24"/>
        </w:rPr>
        <w:t>倍内镜下溃疡发生风险，也显著减少上消化道出血的发生</w:t>
      </w:r>
      <w:r>
        <w:rPr>
          <w:rFonts w:ascii="Times New Roman" w:eastAsia="宋体" w:hAnsi="Times New Roman" w:cs="Times New Roman" w:hint="eastAsia"/>
          <w:sz w:val="24"/>
          <w:szCs w:val="24"/>
        </w:rPr>
        <w:t>（</w:t>
      </w:r>
      <w:r w:rsidRPr="006F57AF">
        <w:rPr>
          <w:rFonts w:ascii="Times New Roman" w:eastAsia="宋体" w:hAnsi="Times New Roman" w:cs="Times New Roman" w:hint="eastAsia"/>
          <w:i/>
          <w:sz w:val="24"/>
          <w:szCs w:val="24"/>
        </w:rPr>
        <w:t>O</w:t>
      </w:r>
      <w:r w:rsidRPr="006F57AF">
        <w:rPr>
          <w:rFonts w:ascii="Times New Roman" w:eastAsia="宋体" w:hAnsi="Times New Roman" w:cs="Times New Roman"/>
          <w:i/>
          <w:sz w:val="24"/>
          <w:szCs w:val="24"/>
        </w:rPr>
        <w:t>R</w:t>
      </w:r>
      <w:r w:rsidRPr="006F57AF">
        <w:rPr>
          <w:rFonts w:ascii="Times New Roman" w:eastAsia="宋体" w:hAnsi="Times New Roman" w:cs="Times New Roman"/>
          <w:sz w:val="24"/>
          <w:szCs w:val="24"/>
        </w:rPr>
        <w:t xml:space="preserve"> 0</w:t>
      </w:r>
      <w:r w:rsidR="00E33F56">
        <w:rPr>
          <w:rFonts w:ascii="宋体" w:eastAsia="宋体" w:hAnsi="宋体" w:cs="Times New Roman" w:hint="eastAsia"/>
          <w:sz w:val="24"/>
          <w:szCs w:val="24"/>
        </w:rPr>
        <w:t>～</w:t>
      </w:r>
      <w:r w:rsidRPr="006F57AF">
        <w:rPr>
          <w:rFonts w:ascii="Times New Roman" w:eastAsia="宋体" w:hAnsi="Times New Roman" w:cs="Times New Roman"/>
          <w:sz w:val="24"/>
          <w:szCs w:val="24"/>
        </w:rPr>
        <w:t>40</w:t>
      </w:r>
      <w:r>
        <w:rPr>
          <w:rFonts w:ascii="Times New Roman" w:eastAsia="宋体" w:hAnsi="Times New Roman" w:cs="Times New Roman" w:hint="eastAsia"/>
          <w:sz w:val="24"/>
          <w:szCs w:val="24"/>
        </w:rPr>
        <w:t>，</w:t>
      </w:r>
      <w:r w:rsidRPr="006F57AF">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6F57AF">
        <w:rPr>
          <w:rFonts w:ascii="Times New Roman" w:eastAsia="宋体" w:hAnsi="Times New Roman" w:cs="Times New Roman"/>
          <w:sz w:val="24"/>
          <w:szCs w:val="24"/>
        </w:rPr>
        <w:t>32</w:t>
      </w:r>
      <w:r w:rsidR="00E33F56">
        <w:rPr>
          <w:rFonts w:ascii="宋体" w:eastAsia="宋体" w:hAnsi="宋体" w:cs="Times New Roman" w:hint="eastAsia"/>
          <w:sz w:val="24"/>
          <w:szCs w:val="24"/>
        </w:rPr>
        <w:t>～</w:t>
      </w:r>
      <w:r w:rsidRPr="006F57AF">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6F57AF">
        <w:rPr>
          <w:rFonts w:ascii="Times New Roman" w:eastAsia="宋体" w:hAnsi="Times New Roman" w:cs="Times New Roman"/>
          <w:sz w:val="24"/>
          <w:szCs w:val="24"/>
        </w:rPr>
        <w:t>50</w:t>
      </w:r>
      <w:r>
        <w:rPr>
          <w:rFonts w:ascii="Times New Roman" w:eastAsia="宋体" w:hAnsi="Times New Roman" w:cs="Times New Roman" w:hint="eastAsia"/>
          <w:sz w:val="24"/>
          <w:szCs w:val="24"/>
        </w:rPr>
        <w:t>；</w:t>
      </w:r>
      <w:r w:rsidRPr="006F57AF">
        <w:rPr>
          <w:rFonts w:ascii="Times New Roman" w:eastAsia="宋体" w:hAnsi="Times New Roman" w:cs="Times New Roman" w:hint="eastAsia"/>
          <w:i/>
          <w:sz w:val="24"/>
          <w:szCs w:val="24"/>
        </w:rPr>
        <w:t>P</w:t>
      </w:r>
      <w:r w:rsidRPr="006F57AF">
        <w:rPr>
          <w:rFonts w:ascii="Times New Roman" w:eastAsia="宋体" w:hAnsi="Times New Roman" w:cs="Times New Roman"/>
          <w:sz w:val="24"/>
          <w:szCs w:val="24"/>
        </w:rPr>
        <w:t>&lt;0</w:t>
      </w:r>
      <w:r w:rsidR="003573E7">
        <w:rPr>
          <w:rFonts w:ascii="Times New Roman" w:eastAsia="宋体" w:hAnsi="Times New Roman" w:cs="Times New Roman" w:hint="eastAsia"/>
          <w:sz w:val="24"/>
          <w:szCs w:val="24"/>
        </w:rPr>
        <w:t>.</w:t>
      </w:r>
      <w:r w:rsidRPr="006F57AF">
        <w:rPr>
          <w:rFonts w:ascii="Times New Roman" w:eastAsia="宋体" w:hAnsi="Times New Roman" w:cs="Times New Roman"/>
          <w:sz w:val="24"/>
          <w:szCs w:val="24"/>
        </w:rPr>
        <w:t>000</w:t>
      </w:r>
      <w:r w:rsidR="00E33F56">
        <w:rPr>
          <w:rFonts w:ascii="Times New Roman" w:eastAsia="宋体" w:hAnsi="Times New Roman" w:cs="Times New Roman" w:hint="eastAsia"/>
          <w:sz w:val="24"/>
          <w:szCs w:val="24"/>
        </w:rPr>
        <w:t xml:space="preserve"> </w:t>
      </w:r>
      <w:r w:rsidRPr="006F57AF">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6F57AF">
        <w:rPr>
          <w:rFonts w:ascii="Times New Roman" w:eastAsia="宋体" w:hAnsi="Times New Roman" w:cs="Times New Roman"/>
          <w:sz w:val="24"/>
          <w:szCs w:val="24"/>
          <w:vertAlign w:val="superscript"/>
        </w:rPr>
        <w:t>[5]</w:t>
      </w:r>
      <w:r w:rsidRPr="006F57AF">
        <w:rPr>
          <w:rFonts w:ascii="Times New Roman" w:eastAsia="宋体" w:hAnsi="Times New Roman" w:cs="Times New Roman" w:hint="eastAsia"/>
          <w:sz w:val="24"/>
          <w:szCs w:val="24"/>
        </w:rPr>
        <w:t>。在预防效果上，</w:t>
      </w:r>
      <w:r w:rsidRPr="006F57AF">
        <w:rPr>
          <w:rFonts w:ascii="Times New Roman" w:eastAsia="宋体" w:hAnsi="Times New Roman" w:cs="Times New Roman" w:hint="eastAsia"/>
          <w:sz w:val="24"/>
          <w:szCs w:val="24"/>
        </w:rPr>
        <w:t>P</w:t>
      </w:r>
      <w:r w:rsidRPr="006F57AF">
        <w:rPr>
          <w:rFonts w:ascii="Times New Roman" w:eastAsia="宋体" w:hAnsi="Times New Roman" w:cs="Times New Roman"/>
          <w:sz w:val="24"/>
          <w:szCs w:val="24"/>
        </w:rPr>
        <w:t>PI</w:t>
      </w:r>
      <w:r w:rsidRPr="006F57AF">
        <w:rPr>
          <w:rFonts w:ascii="Times New Roman" w:eastAsia="宋体" w:hAnsi="Times New Roman" w:cs="Times New Roman" w:hint="eastAsia"/>
          <w:sz w:val="24"/>
          <w:szCs w:val="24"/>
        </w:rPr>
        <w:t>优于前列腺素或</w:t>
      </w:r>
      <w:r w:rsidRPr="006F57AF">
        <w:rPr>
          <w:rFonts w:ascii="Times New Roman" w:eastAsia="宋体" w:hAnsi="Times New Roman" w:cs="Times New Roman" w:hint="eastAsia"/>
          <w:sz w:val="24"/>
          <w:szCs w:val="24"/>
        </w:rPr>
        <w:t>H</w:t>
      </w:r>
      <w:r w:rsidRPr="006F57AF">
        <w:rPr>
          <w:rFonts w:ascii="Times New Roman" w:eastAsia="宋体" w:hAnsi="Times New Roman" w:cs="Times New Roman"/>
          <w:sz w:val="24"/>
          <w:szCs w:val="24"/>
          <w:vertAlign w:val="subscript"/>
        </w:rPr>
        <w:t>2</w:t>
      </w:r>
      <w:r w:rsidRPr="006F57AF">
        <w:rPr>
          <w:rFonts w:ascii="Times New Roman" w:eastAsia="宋体" w:hAnsi="Times New Roman" w:cs="Times New Roman" w:hint="eastAsia"/>
          <w:sz w:val="24"/>
          <w:szCs w:val="24"/>
        </w:rPr>
        <w:t>受体拮抗剂</w:t>
      </w:r>
      <w:r w:rsidRPr="006F57AF">
        <w:rPr>
          <w:rFonts w:ascii="Times New Roman" w:eastAsia="宋体" w:hAnsi="Times New Roman" w:cs="Times New Roman" w:hint="eastAsia"/>
          <w:sz w:val="24"/>
          <w:szCs w:val="24"/>
        </w:rPr>
        <w:t>(H</w:t>
      </w:r>
      <w:r w:rsidRPr="006F57AF">
        <w:rPr>
          <w:rFonts w:ascii="Times New Roman" w:eastAsia="宋体" w:hAnsi="Times New Roman" w:cs="Times New Roman"/>
          <w:sz w:val="24"/>
          <w:szCs w:val="24"/>
          <w:vertAlign w:val="subscript"/>
        </w:rPr>
        <w:t>2</w:t>
      </w:r>
      <w:r w:rsidRPr="006F57AF">
        <w:rPr>
          <w:rFonts w:ascii="Times New Roman" w:eastAsia="宋体" w:hAnsi="Times New Roman" w:cs="Times New Roman"/>
          <w:sz w:val="24"/>
          <w:szCs w:val="24"/>
        </w:rPr>
        <w:t>RA)</w:t>
      </w:r>
      <w:r w:rsidRPr="006F57AF">
        <w:rPr>
          <w:rFonts w:ascii="Times New Roman" w:eastAsia="宋体" w:hAnsi="Times New Roman" w:cs="Times New Roman" w:hint="eastAsia"/>
          <w:sz w:val="24"/>
          <w:szCs w:val="24"/>
        </w:rPr>
        <w:t>。一项针对重症患者的网状荟萃分析，纳入</w:t>
      </w:r>
      <w:r w:rsidRPr="006F57AF">
        <w:rPr>
          <w:rFonts w:ascii="Times New Roman" w:eastAsia="宋体" w:hAnsi="Times New Roman" w:cs="Times New Roman" w:hint="eastAsia"/>
          <w:sz w:val="24"/>
          <w:szCs w:val="24"/>
        </w:rPr>
        <w:t>57</w:t>
      </w:r>
      <w:r w:rsidRPr="006F57AF">
        <w:rPr>
          <w:rFonts w:ascii="Times New Roman" w:eastAsia="宋体" w:hAnsi="Times New Roman" w:cs="Times New Roman" w:hint="eastAsia"/>
          <w:sz w:val="24"/>
          <w:szCs w:val="24"/>
        </w:rPr>
        <w:t>项试验共</w:t>
      </w:r>
      <w:r w:rsidRPr="006F57AF">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 xml:space="preserve"> </w:t>
      </w:r>
      <w:r w:rsidRPr="006F57AF">
        <w:rPr>
          <w:rFonts w:ascii="Times New Roman" w:eastAsia="宋体" w:hAnsi="Times New Roman" w:cs="Times New Roman" w:hint="eastAsia"/>
          <w:sz w:val="24"/>
          <w:szCs w:val="24"/>
        </w:rPr>
        <w:t>293</w:t>
      </w:r>
      <w:r w:rsidRPr="006F57AF">
        <w:rPr>
          <w:rFonts w:ascii="Times New Roman" w:eastAsia="宋体" w:hAnsi="Times New Roman" w:cs="Times New Roman" w:hint="eastAsia"/>
          <w:sz w:val="24"/>
          <w:szCs w:val="24"/>
        </w:rPr>
        <w:t>例患者，相比硫糖铝、</w:t>
      </w:r>
      <w:r w:rsidRPr="006F57AF">
        <w:rPr>
          <w:rFonts w:ascii="Times New Roman" w:eastAsia="宋体" w:hAnsi="Times New Roman" w:cs="Times New Roman" w:hint="eastAsia"/>
          <w:sz w:val="24"/>
          <w:szCs w:val="24"/>
        </w:rPr>
        <w:t>H</w:t>
      </w:r>
      <w:r w:rsidRPr="006F57AF">
        <w:rPr>
          <w:rFonts w:ascii="Times New Roman" w:eastAsia="宋体" w:hAnsi="Times New Roman" w:cs="Times New Roman"/>
          <w:sz w:val="24"/>
          <w:szCs w:val="24"/>
          <w:vertAlign w:val="subscript"/>
        </w:rPr>
        <w:t>2</w:t>
      </w:r>
      <w:r w:rsidRPr="006F57AF">
        <w:rPr>
          <w:rFonts w:ascii="Times New Roman" w:eastAsia="宋体" w:hAnsi="Times New Roman" w:cs="Times New Roman"/>
          <w:sz w:val="24"/>
          <w:szCs w:val="24"/>
        </w:rPr>
        <w:t>RA</w:t>
      </w:r>
      <w:r w:rsidRPr="006F57AF">
        <w:rPr>
          <w:rFonts w:ascii="Times New Roman" w:eastAsia="宋体" w:hAnsi="Times New Roman" w:cs="Times New Roman" w:hint="eastAsia"/>
          <w:sz w:val="24"/>
          <w:szCs w:val="24"/>
        </w:rPr>
        <w:t>，</w:t>
      </w:r>
      <w:r w:rsidRPr="006F57AF">
        <w:rPr>
          <w:rFonts w:ascii="Times New Roman" w:eastAsia="宋体" w:hAnsi="Times New Roman" w:cs="Times New Roman" w:hint="eastAsia"/>
          <w:sz w:val="24"/>
          <w:szCs w:val="24"/>
        </w:rPr>
        <w:t>P</w:t>
      </w:r>
      <w:r w:rsidRPr="006F57AF">
        <w:rPr>
          <w:rFonts w:ascii="Times New Roman" w:eastAsia="宋体" w:hAnsi="Times New Roman" w:cs="Times New Roman"/>
          <w:sz w:val="24"/>
          <w:szCs w:val="24"/>
        </w:rPr>
        <w:t>PI</w:t>
      </w:r>
      <w:r w:rsidRPr="006F57AF">
        <w:rPr>
          <w:rFonts w:ascii="Times New Roman" w:eastAsia="宋体" w:hAnsi="Times New Roman" w:cs="Times New Roman" w:hint="eastAsia"/>
          <w:sz w:val="24"/>
          <w:szCs w:val="24"/>
        </w:rPr>
        <w:t>预防应激性溃疡更有效</w:t>
      </w:r>
      <w:r w:rsidRPr="006F57AF">
        <w:rPr>
          <w:rFonts w:ascii="Times New Roman" w:eastAsia="宋体" w:hAnsi="Times New Roman" w:cs="Times New Roman" w:hint="eastAsia"/>
          <w:sz w:val="24"/>
          <w:szCs w:val="24"/>
          <w:vertAlign w:val="superscript"/>
        </w:rPr>
        <w:t>[</w:t>
      </w:r>
      <w:r w:rsidRPr="006F57AF">
        <w:rPr>
          <w:rFonts w:ascii="Times New Roman" w:eastAsia="宋体" w:hAnsi="Times New Roman" w:cs="Times New Roman"/>
          <w:sz w:val="24"/>
          <w:szCs w:val="24"/>
          <w:vertAlign w:val="superscript"/>
        </w:rPr>
        <w:t>6]</w:t>
      </w:r>
      <w:r w:rsidRPr="006F57AF">
        <w:rPr>
          <w:rFonts w:ascii="Times New Roman" w:eastAsia="宋体" w:hAnsi="Times New Roman" w:cs="Times New Roman" w:hint="eastAsia"/>
          <w:sz w:val="24"/>
          <w:szCs w:val="24"/>
        </w:rPr>
        <w:t>。</w:t>
      </w:r>
    </w:p>
    <w:p w:rsidR="007A5BD9" w:rsidRPr="00890F61" w:rsidRDefault="006F57AF" w:rsidP="00703EA2">
      <w:pPr>
        <w:spacing w:line="276" w:lineRule="auto"/>
        <w:ind w:firstLineChars="200" w:firstLine="480"/>
        <w:contextualSpacing/>
        <w:jc w:val="both"/>
        <w:rPr>
          <w:rFonts w:ascii="Times New Roman" w:eastAsia="宋体" w:hAnsi="Times New Roman" w:cs="Times New Roman"/>
          <w:sz w:val="20"/>
          <w:szCs w:val="20"/>
        </w:rPr>
      </w:pPr>
      <w:r w:rsidRPr="00890F61">
        <w:rPr>
          <w:rFonts w:ascii="Times New Roman" w:eastAsia="宋体" w:hAnsi="Times New Roman" w:cs="Times New Roman"/>
          <w:sz w:val="24"/>
          <w:szCs w:val="24"/>
        </w:rPr>
        <w:t>预防性使用</w:t>
      </w:r>
      <w:r w:rsidRPr="00890F61">
        <w:rPr>
          <w:rFonts w:ascii="Times New Roman" w:eastAsia="宋体" w:hAnsi="Times New Roman" w:cs="Times New Roman"/>
          <w:sz w:val="24"/>
          <w:szCs w:val="24"/>
        </w:rPr>
        <w:t>PPI</w:t>
      </w:r>
      <w:r w:rsidRPr="00890F61">
        <w:rPr>
          <w:rFonts w:ascii="Times New Roman" w:eastAsia="宋体" w:hAnsi="Times New Roman" w:cs="Times New Roman"/>
          <w:sz w:val="24"/>
          <w:szCs w:val="24"/>
        </w:rPr>
        <w:t>应严格掌握使用指征，一次只需使用一种</w:t>
      </w:r>
      <w:r w:rsidRPr="00890F61">
        <w:rPr>
          <w:rFonts w:ascii="Times New Roman" w:eastAsia="宋体" w:hAnsi="Times New Roman" w:cs="Times New Roman"/>
          <w:sz w:val="24"/>
          <w:szCs w:val="24"/>
        </w:rPr>
        <w:t>PPI</w:t>
      </w:r>
      <w:r w:rsidRPr="00890F61">
        <w:rPr>
          <w:rFonts w:ascii="Times New Roman" w:eastAsia="宋体" w:hAnsi="Times New Roman" w:cs="Times New Roman"/>
          <w:sz w:val="24"/>
          <w:szCs w:val="24"/>
        </w:rPr>
        <w:t>。根据患者病情变化，可由静脉用药序</w:t>
      </w:r>
      <w:proofErr w:type="gramStart"/>
      <w:r w:rsidRPr="00890F61">
        <w:rPr>
          <w:rFonts w:ascii="Times New Roman" w:eastAsia="宋体" w:hAnsi="Times New Roman" w:cs="Times New Roman"/>
          <w:sz w:val="24"/>
          <w:szCs w:val="24"/>
        </w:rPr>
        <w:t>贯调整</w:t>
      </w:r>
      <w:proofErr w:type="gramEnd"/>
      <w:r w:rsidRPr="00890F61">
        <w:rPr>
          <w:rFonts w:ascii="Times New Roman" w:eastAsia="宋体" w:hAnsi="Times New Roman" w:cs="Times New Roman"/>
          <w:sz w:val="24"/>
          <w:szCs w:val="24"/>
        </w:rPr>
        <w:t>为口服用药。不同</w:t>
      </w:r>
      <w:r w:rsidRPr="00890F61">
        <w:rPr>
          <w:rFonts w:ascii="Times New Roman" w:eastAsia="宋体" w:hAnsi="Times New Roman" w:cs="Times New Roman"/>
          <w:sz w:val="24"/>
          <w:szCs w:val="24"/>
        </w:rPr>
        <w:t>PPI</w:t>
      </w:r>
      <w:r w:rsidRPr="00890F61">
        <w:rPr>
          <w:rFonts w:ascii="Times New Roman" w:eastAsia="宋体" w:hAnsi="Times New Roman" w:cs="Times New Roman"/>
          <w:sz w:val="24"/>
          <w:szCs w:val="24"/>
        </w:rPr>
        <w:t>批准的适应证有所差异，适应证掌握不当与</w:t>
      </w:r>
      <w:r w:rsidRPr="00890F61">
        <w:rPr>
          <w:rFonts w:ascii="Times New Roman" w:eastAsia="宋体" w:hAnsi="Times New Roman" w:cs="Times New Roman"/>
          <w:sz w:val="24"/>
          <w:szCs w:val="24"/>
        </w:rPr>
        <w:t>PPI</w:t>
      </w:r>
      <w:r w:rsidRPr="00890F61">
        <w:rPr>
          <w:rFonts w:ascii="Times New Roman" w:eastAsia="宋体" w:hAnsi="Times New Roman" w:cs="Times New Roman"/>
          <w:sz w:val="24"/>
          <w:szCs w:val="24"/>
        </w:rPr>
        <w:t>过度处方密切相关</w:t>
      </w:r>
      <w:r w:rsidRPr="00890F61">
        <w:rPr>
          <w:rFonts w:ascii="Times New Roman" w:eastAsia="宋体" w:hAnsi="Times New Roman" w:cs="Times New Roman"/>
          <w:sz w:val="24"/>
          <w:szCs w:val="24"/>
          <w:vertAlign w:val="superscript"/>
        </w:rPr>
        <w:t>[3]</w:t>
      </w:r>
      <w:r w:rsidRPr="00890F61">
        <w:rPr>
          <w:rFonts w:ascii="Times New Roman" w:eastAsia="宋体" w:hAnsi="Times New Roman" w:cs="Times New Roman"/>
          <w:sz w:val="24"/>
          <w:szCs w:val="24"/>
        </w:rPr>
        <w:t>。</w:t>
      </w:r>
    </w:p>
    <w:p w:rsidR="007A5BD9" w:rsidRPr="00890F61" w:rsidRDefault="006F57AF" w:rsidP="00703EA2">
      <w:pPr>
        <w:spacing w:after="0" w:line="276" w:lineRule="auto"/>
        <w:ind w:firstLineChars="200" w:firstLine="480"/>
        <w:contextualSpacing/>
        <w:jc w:val="both"/>
        <w:rPr>
          <w:rFonts w:ascii="Times New Roman" w:eastAsia="宋体" w:hAnsi="Times New Roman" w:cs="Times New Roman"/>
          <w:sz w:val="24"/>
          <w:szCs w:val="21"/>
        </w:rPr>
      </w:pPr>
      <w:r w:rsidRPr="00890F61">
        <w:rPr>
          <w:rFonts w:ascii="Times New Roman" w:eastAsia="宋体" w:hAnsi="Times New Roman" w:cs="Times New Roman"/>
          <w:sz w:val="24"/>
          <w:szCs w:val="21"/>
        </w:rPr>
        <w:lastRenderedPageBreak/>
        <w:t>不同</w:t>
      </w:r>
      <w:r w:rsidRPr="00890F61">
        <w:rPr>
          <w:rFonts w:ascii="Times New Roman" w:eastAsia="宋体" w:hAnsi="Times New Roman" w:cs="Times New Roman"/>
          <w:sz w:val="24"/>
          <w:szCs w:val="21"/>
        </w:rPr>
        <w:t>PPI</w:t>
      </w:r>
      <w:r w:rsidRPr="00890F61">
        <w:rPr>
          <w:rFonts w:ascii="Times New Roman" w:eastAsia="宋体" w:hAnsi="Times New Roman" w:cs="Times New Roman"/>
          <w:sz w:val="24"/>
          <w:szCs w:val="21"/>
        </w:rPr>
        <w:t>的说明书推荐剂量不同，表</w:t>
      </w:r>
      <w:r w:rsidRPr="00890F61">
        <w:rPr>
          <w:rFonts w:ascii="Times New Roman" w:eastAsia="宋体" w:hAnsi="Times New Roman" w:cs="Times New Roman"/>
          <w:sz w:val="24"/>
          <w:szCs w:val="21"/>
        </w:rPr>
        <w:t xml:space="preserve"> 1</w:t>
      </w:r>
      <w:r w:rsidRPr="00890F61">
        <w:rPr>
          <w:rFonts w:ascii="Times New Roman" w:eastAsia="宋体" w:hAnsi="Times New Roman" w:cs="Times New Roman"/>
          <w:sz w:val="24"/>
          <w:szCs w:val="21"/>
        </w:rPr>
        <w:t>汇总了目前国内常用</w:t>
      </w:r>
      <w:r w:rsidRPr="00890F61">
        <w:rPr>
          <w:rFonts w:ascii="Times New Roman" w:eastAsia="宋体" w:hAnsi="Times New Roman" w:cs="Times New Roman"/>
          <w:sz w:val="24"/>
          <w:szCs w:val="21"/>
        </w:rPr>
        <w:t>PPI</w:t>
      </w:r>
      <w:r w:rsidRPr="00890F61">
        <w:rPr>
          <w:rFonts w:ascii="Times New Roman" w:eastAsia="宋体" w:hAnsi="Times New Roman" w:cs="Times New Roman"/>
          <w:sz w:val="24"/>
          <w:szCs w:val="21"/>
        </w:rPr>
        <w:t>的每日常规剂量。</w:t>
      </w:r>
    </w:p>
    <w:p w:rsidR="007A5BD9" w:rsidRPr="00890F61" w:rsidRDefault="007A5BD9" w:rsidP="00703EA2">
      <w:pPr>
        <w:spacing w:after="0" w:line="276" w:lineRule="auto"/>
        <w:ind w:firstLineChars="200" w:firstLine="480"/>
        <w:contextualSpacing/>
        <w:jc w:val="both"/>
        <w:rPr>
          <w:rFonts w:ascii="Times New Roman" w:eastAsia="宋体" w:hAnsi="Times New Roman" w:cs="Times New Roman"/>
          <w:sz w:val="24"/>
          <w:szCs w:val="21"/>
        </w:rPr>
      </w:pPr>
    </w:p>
    <w:p w:rsidR="007A5BD9" w:rsidRPr="006F57AF" w:rsidRDefault="006F57AF">
      <w:pPr>
        <w:spacing w:line="240" w:lineRule="auto"/>
        <w:rPr>
          <w:rFonts w:ascii="黑体" w:eastAsia="黑体" w:hAnsi="黑体" w:cs="Times New Roman"/>
          <w:sz w:val="24"/>
          <w:szCs w:val="21"/>
        </w:rPr>
      </w:pPr>
      <w:r w:rsidRPr="006F57AF">
        <w:rPr>
          <w:rFonts w:ascii="黑体" w:eastAsia="黑体" w:hAnsi="黑体" w:cs="Times New Roman"/>
          <w:sz w:val="24"/>
          <w:szCs w:val="21"/>
        </w:rPr>
        <w:t>表1  口服/注射用</w:t>
      </w:r>
      <w:r w:rsidRPr="00890F61">
        <w:rPr>
          <w:rFonts w:ascii="Times New Roman" w:eastAsia="黑体" w:hAnsi="Times New Roman" w:cs="Times New Roman"/>
          <w:sz w:val="24"/>
          <w:szCs w:val="21"/>
        </w:rPr>
        <w:t>PPI</w:t>
      </w:r>
      <w:r w:rsidRPr="006F57AF">
        <w:rPr>
          <w:rFonts w:ascii="黑体" w:eastAsia="黑体" w:hAnsi="黑体" w:cs="Times New Roman" w:hint="eastAsia"/>
          <w:sz w:val="24"/>
          <w:szCs w:val="21"/>
        </w:rPr>
        <w:t>常规</w:t>
      </w:r>
      <w:r w:rsidRPr="006F57AF">
        <w:rPr>
          <w:rFonts w:ascii="黑体" w:eastAsia="黑体" w:hAnsi="黑体" w:cs="Times New Roman"/>
          <w:sz w:val="24"/>
          <w:szCs w:val="21"/>
        </w:rPr>
        <w:t>剂量</w:t>
      </w:r>
    </w:p>
    <w:tbl>
      <w:tblPr>
        <w:tblStyle w:val="aa"/>
        <w:tblW w:w="78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8"/>
        <w:gridCol w:w="2709"/>
        <w:gridCol w:w="2961"/>
      </w:tblGrid>
      <w:tr w:rsidR="007A5BD9" w:rsidRPr="006F57AF">
        <w:trPr>
          <w:trHeight w:val="357"/>
        </w:trPr>
        <w:tc>
          <w:tcPr>
            <w:tcW w:w="2158" w:type="dxa"/>
            <w:tcBorders>
              <w:top w:val="single" w:sz="4" w:space="0" w:color="auto"/>
              <w:bottom w:val="single" w:sz="4" w:space="0" w:color="auto"/>
            </w:tcBorders>
          </w:tcPr>
          <w:p w:rsidR="007A5BD9" w:rsidRPr="006F57AF" w:rsidRDefault="006F57AF">
            <w:pPr>
              <w:spacing w:after="0" w:line="276" w:lineRule="auto"/>
              <w:rPr>
                <w:rFonts w:ascii="Times New Roman" w:eastAsia="宋体" w:hAnsi="Times New Roman" w:cs="Times New Roman"/>
                <w:bCs/>
                <w:sz w:val="24"/>
                <w:szCs w:val="21"/>
              </w:rPr>
            </w:pPr>
            <w:r w:rsidRPr="006F57AF">
              <w:rPr>
                <w:rFonts w:ascii="Times New Roman" w:eastAsia="宋体" w:hAnsi="Times New Roman" w:cs="Times New Roman"/>
                <w:bCs/>
                <w:sz w:val="24"/>
                <w:szCs w:val="21"/>
              </w:rPr>
              <w:t>PPI</w:t>
            </w:r>
          </w:p>
        </w:tc>
        <w:tc>
          <w:tcPr>
            <w:tcW w:w="2709" w:type="dxa"/>
            <w:tcBorders>
              <w:top w:val="single" w:sz="4" w:space="0" w:color="auto"/>
              <w:bottom w:val="single" w:sz="4" w:space="0" w:color="auto"/>
            </w:tcBorders>
          </w:tcPr>
          <w:p w:rsidR="007A5BD9" w:rsidRPr="006F57AF" w:rsidRDefault="006F57AF" w:rsidP="006F57AF">
            <w:pPr>
              <w:spacing w:after="0" w:line="276" w:lineRule="auto"/>
              <w:rPr>
                <w:rFonts w:ascii="Times New Roman" w:eastAsia="宋体" w:hAnsi="Times New Roman" w:cs="Times New Roman"/>
                <w:bCs/>
                <w:sz w:val="24"/>
                <w:szCs w:val="21"/>
              </w:rPr>
            </w:pPr>
            <w:r w:rsidRPr="006F57AF">
              <w:rPr>
                <w:rFonts w:ascii="Times New Roman" w:eastAsia="宋体" w:hAnsi="Times New Roman" w:cs="Times New Roman" w:hint="eastAsia"/>
                <w:bCs/>
                <w:sz w:val="24"/>
                <w:szCs w:val="21"/>
              </w:rPr>
              <w:t>常规</w:t>
            </w:r>
            <w:r w:rsidRPr="006F57AF">
              <w:rPr>
                <w:rFonts w:ascii="Times New Roman" w:eastAsia="宋体" w:hAnsi="Times New Roman" w:cs="Times New Roman"/>
                <w:bCs/>
                <w:sz w:val="24"/>
                <w:szCs w:val="21"/>
              </w:rPr>
              <w:t>剂量（口服）</w:t>
            </w:r>
            <w:r w:rsidRPr="006F57AF">
              <w:rPr>
                <w:rFonts w:ascii="Times New Roman" w:eastAsia="宋体" w:hAnsi="Times New Roman" w:cs="Times New Roman"/>
                <w:bCs/>
                <w:sz w:val="24"/>
                <w:szCs w:val="21"/>
              </w:rPr>
              <w:t>/</w:t>
            </w:r>
            <w:r>
              <w:rPr>
                <w:rFonts w:ascii="Times New Roman" w:eastAsia="宋体" w:hAnsi="Times New Roman" w:cs="Times New Roman" w:hint="eastAsia"/>
                <w:bCs/>
                <w:sz w:val="24"/>
                <w:szCs w:val="21"/>
              </w:rPr>
              <w:t>d</w:t>
            </w:r>
          </w:p>
        </w:tc>
        <w:tc>
          <w:tcPr>
            <w:tcW w:w="2961" w:type="dxa"/>
            <w:tcBorders>
              <w:top w:val="single" w:sz="4" w:space="0" w:color="auto"/>
              <w:bottom w:val="single" w:sz="4" w:space="0" w:color="auto"/>
            </w:tcBorders>
          </w:tcPr>
          <w:p w:rsidR="007A5BD9" w:rsidRPr="006F57AF" w:rsidRDefault="006F57AF" w:rsidP="006F57AF">
            <w:pPr>
              <w:spacing w:after="0" w:line="276" w:lineRule="auto"/>
              <w:rPr>
                <w:rFonts w:ascii="Times New Roman" w:eastAsia="宋体" w:hAnsi="Times New Roman" w:cs="Times New Roman"/>
                <w:bCs/>
                <w:sz w:val="24"/>
                <w:szCs w:val="21"/>
              </w:rPr>
            </w:pPr>
            <w:r w:rsidRPr="006F57AF">
              <w:rPr>
                <w:rFonts w:ascii="Times New Roman" w:eastAsia="宋体" w:hAnsi="Times New Roman" w:cs="Times New Roman" w:hint="eastAsia"/>
                <w:bCs/>
                <w:sz w:val="24"/>
                <w:szCs w:val="21"/>
              </w:rPr>
              <w:t>常规</w:t>
            </w:r>
            <w:r w:rsidRPr="006F57AF">
              <w:rPr>
                <w:rFonts w:ascii="Times New Roman" w:eastAsia="宋体" w:hAnsi="Times New Roman" w:cs="Times New Roman"/>
                <w:bCs/>
                <w:sz w:val="24"/>
                <w:szCs w:val="21"/>
              </w:rPr>
              <w:t>剂量（注射用）</w:t>
            </w:r>
            <w:r w:rsidRPr="006F57AF">
              <w:rPr>
                <w:rFonts w:ascii="Times New Roman" w:eastAsia="宋体" w:hAnsi="Times New Roman" w:cs="Times New Roman"/>
                <w:bCs/>
                <w:sz w:val="24"/>
                <w:szCs w:val="21"/>
              </w:rPr>
              <w:t>/</w:t>
            </w:r>
            <w:r>
              <w:rPr>
                <w:rFonts w:ascii="Times New Roman" w:eastAsia="宋体" w:hAnsi="Times New Roman" w:cs="Times New Roman" w:hint="eastAsia"/>
                <w:bCs/>
                <w:sz w:val="24"/>
                <w:szCs w:val="21"/>
              </w:rPr>
              <w:t>d</w:t>
            </w:r>
          </w:p>
        </w:tc>
      </w:tr>
      <w:tr w:rsidR="007A5BD9" w:rsidRPr="006F57AF">
        <w:trPr>
          <w:trHeight w:val="368"/>
        </w:trPr>
        <w:tc>
          <w:tcPr>
            <w:tcW w:w="2158" w:type="dxa"/>
            <w:tcBorders>
              <w:top w:val="single" w:sz="4" w:space="0" w:color="auto"/>
            </w:tcBorders>
          </w:tcPr>
          <w:p w:rsidR="007A5BD9" w:rsidRPr="006F57AF" w:rsidRDefault="006F57AF">
            <w:pPr>
              <w:spacing w:after="0" w:line="276" w:lineRule="auto"/>
              <w:rPr>
                <w:rFonts w:ascii="Times New Roman" w:eastAsia="宋体" w:hAnsi="Times New Roman" w:cs="Times New Roman"/>
                <w:bCs/>
                <w:sz w:val="24"/>
                <w:szCs w:val="21"/>
              </w:rPr>
            </w:pPr>
            <w:r w:rsidRPr="006F57AF">
              <w:rPr>
                <w:rFonts w:ascii="Times New Roman" w:eastAsia="宋体" w:hAnsi="Times New Roman" w:cs="Times New Roman"/>
                <w:bCs/>
                <w:sz w:val="24"/>
                <w:szCs w:val="21"/>
              </w:rPr>
              <w:t>奥美拉</w:t>
            </w:r>
            <w:proofErr w:type="gramStart"/>
            <w:r w:rsidRPr="006F57AF">
              <w:rPr>
                <w:rFonts w:ascii="Times New Roman" w:eastAsia="宋体" w:hAnsi="Times New Roman" w:cs="Times New Roman"/>
                <w:bCs/>
                <w:sz w:val="24"/>
                <w:szCs w:val="21"/>
              </w:rPr>
              <w:t>唑</w:t>
            </w:r>
            <w:proofErr w:type="gramEnd"/>
          </w:p>
        </w:tc>
        <w:tc>
          <w:tcPr>
            <w:tcW w:w="2709" w:type="dxa"/>
            <w:tcBorders>
              <w:top w:val="single" w:sz="4" w:space="0" w:color="auto"/>
            </w:tcBorders>
          </w:tcPr>
          <w:p w:rsidR="007A5BD9" w:rsidRPr="006F57AF" w:rsidRDefault="006F57AF">
            <w:pPr>
              <w:spacing w:after="0" w:line="276" w:lineRule="auto"/>
              <w:rPr>
                <w:rFonts w:ascii="Times New Roman" w:eastAsia="宋体" w:hAnsi="Times New Roman" w:cs="Times New Roman"/>
                <w:bCs/>
                <w:sz w:val="24"/>
                <w:szCs w:val="21"/>
              </w:rPr>
            </w:pPr>
            <w:r w:rsidRPr="006F57AF">
              <w:rPr>
                <w:rFonts w:ascii="Times New Roman" w:eastAsia="宋体" w:hAnsi="Times New Roman" w:cs="Times New Roman" w:hint="eastAsia"/>
                <w:bCs/>
                <w:sz w:val="24"/>
                <w:szCs w:val="21"/>
              </w:rPr>
              <w:t>4</w:t>
            </w:r>
            <w:r w:rsidRPr="006F57AF">
              <w:rPr>
                <w:rFonts w:ascii="Times New Roman" w:eastAsia="宋体" w:hAnsi="Times New Roman" w:cs="Times New Roman"/>
                <w:bCs/>
                <w:sz w:val="24"/>
                <w:szCs w:val="21"/>
              </w:rPr>
              <w:t>0 mg</w:t>
            </w:r>
            <w:r w:rsidRPr="006F57AF">
              <w:rPr>
                <w:rFonts w:ascii="Times New Roman" w:eastAsia="宋体" w:hAnsi="Times New Roman" w:cs="Times New Roman"/>
                <w:bCs/>
                <w:sz w:val="24"/>
                <w:szCs w:val="21"/>
                <w:vertAlign w:val="superscript"/>
              </w:rPr>
              <w:t>+</w:t>
            </w:r>
          </w:p>
        </w:tc>
        <w:tc>
          <w:tcPr>
            <w:tcW w:w="2961" w:type="dxa"/>
            <w:tcBorders>
              <w:top w:val="single" w:sz="4" w:space="0" w:color="auto"/>
            </w:tcBorders>
          </w:tcPr>
          <w:p w:rsidR="007A5BD9" w:rsidRPr="006F57AF" w:rsidRDefault="006F57AF">
            <w:pPr>
              <w:spacing w:after="0" w:line="276" w:lineRule="auto"/>
              <w:rPr>
                <w:rFonts w:ascii="Times New Roman" w:eastAsia="宋体" w:hAnsi="Times New Roman" w:cs="Times New Roman"/>
                <w:bCs/>
                <w:sz w:val="24"/>
                <w:szCs w:val="21"/>
              </w:rPr>
            </w:pPr>
            <w:r w:rsidRPr="006F57AF">
              <w:rPr>
                <w:rFonts w:ascii="Times New Roman" w:eastAsia="宋体" w:hAnsi="Times New Roman" w:cs="Times New Roman"/>
                <w:bCs/>
                <w:sz w:val="24"/>
                <w:szCs w:val="21"/>
              </w:rPr>
              <w:t>40 mg</w:t>
            </w:r>
          </w:p>
        </w:tc>
      </w:tr>
      <w:tr w:rsidR="007A5BD9" w:rsidRPr="006F57AF">
        <w:trPr>
          <w:trHeight w:val="357"/>
        </w:trPr>
        <w:tc>
          <w:tcPr>
            <w:tcW w:w="2158" w:type="dxa"/>
          </w:tcPr>
          <w:p w:rsidR="007A5BD9" w:rsidRPr="006F57AF" w:rsidRDefault="006F57AF">
            <w:pPr>
              <w:spacing w:after="0" w:line="276" w:lineRule="auto"/>
              <w:rPr>
                <w:rFonts w:ascii="Times New Roman" w:eastAsia="宋体" w:hAnsi="Times New Roman" w:cs="Times New Roman"/>
                <w:bCs/>
                <w:sz w:val="24"/>
                <w:szCs w:val="21"/>
              </w:rPr>
            </w:pPr>
            <w:proofErr w:type="gramStart"/>
            <w:r w:rsidRPr="006F57AF">
              <w:rPr>
                <w:rFonts w:ascii="Times New Roman" w:eastAsia="宋体" w:hAnsi="Times New Roman" w:cs="Times New Roman"/>
                <w:bCs/>
                <w:sz w:val="24"/>
                <w:szCs w:val="21"/>
              </w:rPr>
              <w:t>兰索拉唑</w:t>
            </w:r>
            <w:proofErr w:type="gramEnd"/>
          </w:p>
        </w:tc>
        <w:tc>
          <w:tcPr>
            <w:tcW w:w="2709" w:type="dxa"/>
          </w:tcPr>
          <w:p w:rsidR="007A5BD9" w:rsidRPr="006F57AF" w:rsidRDefault="006F57AF">
            <w:pPr>
              <w:spacing w:after="0" w:line="276" w:lineRule="auto"/>
              <w:rPr>
                <w:rFonts w:ascii="Times New Roman" w:eastAsia="宋体" w:hAnsi="Times New Roman" w:cs="Times New Roman"/>
                <w:bCs/>
                <w:sz w:val="24"/>
                <w:szCs w:val="21"/>
              </w:rPr>
            </w:pPr>
            <w:r w:rsidRPr="006F57AF">
              <w:rPr>
                <w:rFonts w:ascii="Times New Roman" w:eastAsia="宋体" w:hAnsi="Times New Roman" w:cs="Times New Roman"/>
                <w:bCs/>
                <w:sz w:val="24"/>
                <w:szCs w:val="21"/>
              </w:rPr>
              <w:t>30 mg</w:t>
            </w:r>
          </w:p>
        </w:tc>
        <w:tc>
          <w:tcPr>
            <w:tcW w:w="2961" w:type="dxa"/>
          </w:tcPr>
          <w:p w:rsidR="007A5BD9" w:rsidRPr="006F57AF" w:rsidRDefault="006F57AF">
            <w:pPr>
              <w:spacing w:after="0" w:line="276" w:lineRule="auto"/>
              <w:rPr>
                <w:rFonts w:ascii="Times New Roman" w:eastAsia="宋体" w:hAnsi="Times New Roman" w:cs="Times New Roman"/>
                <w:bCs/>
                <w:sz w:val="24"/>
                <w:szCs w:val="21"/>
              </w:rPr>
            </w:pPr>
            <w:r w:rsidRPr="006F57AF">
              <w:rPr>
                <w:rFonts w:ascii="Times New Roman" w:eastAsia="宋体" w:hAnsi="Times New Roman" w:cs="Times New Roman"/>
                <w:bCs/>
                <w:sz w:val="24"/>
                <w:szCs w:val="21"/>
              </w:rPr>
              <w:t>30 mg</w:t>
            </w:r>
            <w:r w:rsidRPr="006F57AF">
              <w:rPr>
                <w:rFonts w:ascii="Times New Roman" w:eastAsia="宋体" w:hAnsi="Times New Roman" w:cs="Times New Roman"/>
                <w:bCs/>
                <w:sz w:val="24"/>
                <w:szCs w:val="21"/>
                <w:vertAlign w:val="superscript"/>
              </w:rPr>
              <w:t>*</w:t>
            </w:r>
          </w:p>
        </w:tc>
      </w:tr>
      <w:tr w:rsidR="007A5BD9" w:rsidRPr="006F57AF">
        <w:trPr>
          <w:trHeight w:val="357"/>
        </w:trPr>
        <w:tc>
          <w:tcPr>
            <w:tcW w:w="2158" w:type="dxa"/>
          </w:tcPr>
          <w:p w:rsidR="007A5BD9" w:rsidRPr="006F57AF" w:rsidRDefault="006F57AF">
            <w:pPr>
              <w:spacing w:after="0" w:line="276" w:lineRule="auto"/>
              <w:rPr>
                <w:rFonts w:ascii="Times New Roman" w:eastAsia="宋体" w:hAnsi="Times New Roman" w:cs="Times New Roman"/>
                <w:bCs/>
                <w:sz w:val="24"/>
                <w:szCs w:val="21"/>
              </w:rPr>
            </w:pPr>
            <w:proofErr w:type="gramStart"/>
            <w:r w:rsidRPr="006F57AF">
              <w:rPr>
                <w:rFonts w:ascii="Times New Roman" w:eastAsia="宋体" w:hAnsi="Times New Roman" w:cs="Times New Roman"/>
                <w:bCs/>
                <w:sz w:val="24"/>
                <w:szCs w:val="21"/>
              </w:rPr>
              <w:t>泮</w:t>
            </w:r>
            <w:proofErr w:type="gramEnd"/>
            <w:r w:rsidRPr="006F57AF">
              <w:rPr>
                <w:rFonts w:ascii="Times New Roman" w:eastAsia="宋体" w:hAnsi="Times New Roman" w:cs="Times New Roman"/>
                <w:bCs/>
                <w:sz w:val="24"/>
                <w:szCs w:val="21"/>
              </w:rPr>
              <w:t>托拉</w:t>
            </w:r>
            <w:proofErr w:type="gramStart"/>
            <w:r w:rsidRPr="006F57AF">
              <w:rPr>
                <w:rFonts w:ascii="Times New Roman" w:eastAsia="宋体" w:hAnsi="Times New Roman" w:cs="Times New Roman"/>
                <w:bCs/>
                <w:sz w:val="24"/>
                <w:szCs w:val="21"/>
              </w:rPr>
              <w:t>唑</w:t>
            </w:r>
            <w:proofErr w:type="gramEnd"/>
          </w:p>
        </w:tc>
        <w:tc>
          <w:tcPr>
            <w:tcW w:w="2709" w:type="dxa"/>
          </w:tcPr>
          <w:p w:rsidR="007A5BD9" w:rsidRPr="006F57AF" w:rsidRDefault="006F57AF">
            <w:pPr>
              <w:spacing w:after="0" w:line="276" w:lineRule="auto"/>
              <w:rPr>
                <w:rFonts w:ascii="Times New Roman" w:eastAsia="宋体" w:hAnsi="Times New Roman" w:cs="Times New Roman"/>
                <w:bCs/>
                <w:sz w:val="24"/>
                <w:szCs w:val="21"/>
              </w:rPr>
            </w:pPr>
            <w:r w:rsidRPr="006F57AF">
              <w:rPr>
                <w:rFonts w:ascii="Times New Roman" w:eastAsia="宋体" w:hAnsi="Times New Roman" w:cs="Times New Roman"/>
                <w:bCs/>
                <w:sz w:val="24"/>
                <w:szCs w:val="21"/>
              </w:rPr>
              <w:t>40 mg</w:t>
            </w:r>
          </w:p>
        </w:tc>
        <w:tc>
          <w:tcPr>
            <w:tcW w:w="2961" w:type="dxa"/>
          </w:tcPr>
          <w:p w:rsidR="007A5BD9" w:rsidRPr="006F57AF" w:rsidRDefault="006F57AF">
            <w:pPr>
              <w:spacing w:after="0" w:line="276" w:lineRule="auto"/>
              <w:rPr>
                <w:rFonts w:ascii="Times New Roman" w:eastAsia="宋体" w:hAnsi="Times New Roman" w:cs="Times New Roman"/>
                <w:bCs/>
                <w:sz w:val="24"/>
                <w:szCs w:val="21"/>
              </w:rPr>
            </w:pPr>
            <w:r w:rsidRPr="006F57AF">
              <w:rPr>
                <w:rFonts w:ascii="Times New Roman" w:eastAsia="宋体" w:hAnsi="Times New Roman" w:cs="Times New Roman" w:hint="eastAsia"/>
                <w:bCs/>
                <w:sz w:val="24"/>
                <w:szCs w:val="21"/>
              </w:rPr>
              <w:t>4</w:t>
            </w:r>
            <w:r w:rsidRPr="006F57AF">
              <w:rPr>
                <w:rFonts w:ascii="Times New Roman" w:eastAsia="宋体" w:hAnsi="Times New Roman" w:cs="Times New Roman"/>
                <w:bCs/>
                <w:sz w:val="24"/>
                <w:szCs w:val="21"/>
              </w:rPr>
              <w:t>0 mg</w:t>
            </w:r>
          </w:p>
        </w:tc>
      </w:tr>
      <w:tr w:rsidR="007A5BD9" w:rsidRPr="006F57AF">
        <w:trPr>
          <w:trHeight w:val="368"/>
        </w:trPr>
        <w:tc>
          <w:tcPr>
            <w:tcW w:w="2158" w:type="dxa"/>
          </w:tcPr>
          <w:p w:rsidR="007A5BD9" w:rsidRPr="006F57AF" w:rsidRDefault="006F57AF">
            <w:pPr>
              <w:spacing w:after="0" w:line="276" w:lineRule="auto"/>
              <w:rPr>
                <w:rFonts w:ascii="Times New Roman" w:eastAsia="宋体" w:hAnsi="Times New Roman" w:cs="Times New Roman"/>
                <w:bCs/>
                <w:sz w:val="24"/>
                <w:szCs w:val="21"/>
              </w:rPr>
            </w:pPr>
            <w:r w:rsidRPr="006F57AF">
              <w:rPr>
                <w:rFonts w:ascii="Times New Roman" w:eastAsia="宋体" w:hAnsi="Times New Roman" w:cs="Times New Roman"/>
                <w:bCs/>
                <w:sz w:val="24"/>
                <w:szCs w:val="21"/>
              </w:rPr>
              <w:t>雷贝拉</w:t>
            </w:r>
            <w:proofErr w:type="gramStart"/>
            <w:r w:rsidRPr="006F57AF">
              <w:rPr>
                <w:rFonts w:ascii="Times New Roman" w:eastAsia="宋体" w:hAnsi="Times New Roman" w:cs="Times New Roman"/>
                <w:bCs/>
                <w:sz w:val="24"/>
                <w:szCs w:val="21"/>
              </w:rPr>
              <w:t>唑</w:t>
            </w:r>
            <w:proofErr w:type="gramEnd"/>
          </w:p>
        </w:tc>
        <w:tc>
          <w:tcPr>
            <w:tcW w:w="2709" w:type="dxa"/>
          </w:tcPr>
          <w:p w:rsidR="007A5BD9" w:rsidRPr="006F57AF" w:rsidRDefault="006F57AF">
            <w:pPr>
              <w:spacing w:after="0" w:line="276" w:lineRule="auto"/>
              <w:rPr>
                <w:rFonts w:ascii="Times New Roman" w:eastAsia="宋体" w:hAnsi="Times New Roman" w:cs="Times New Roman"/>
                <w:bCs/>
                <w:sz w:val="24"/>
                <w:szCs w:val="21"/>
              </w:rPr>
            </w:pPr>
            <w:r w:rsidRPr="006F57AF">
              <w:rPr>
                <w:rFonts w:ascii="Times New Roman" w:eastAsia="宋体" w:hAnsi="Times New Roman" w:cs="Times New Roman"/>
                <w:bCs/>
                <w:sz w:val="24"/>
                <w:szCs w:val="21"/>
              </w:rPr>
              <w:t>20 mg</w:t>
            </w:r>
          </w:p>
        </w:tc>
        <w:tc>
          <w:tcPr>
            <w:tcW w:w="2961" w:type="dxa"/>
          </w:tcPr>
          <w:p w:rsidR="007A5BD9" w:rsidRPr="006F57AF" w:rsidRDefault="006F57AF">
            <w:pPr>
              <w:spacing w:after="0" w:line="276" w:lineRule="auto"/>
              <w:rPr>
                <w:rFonts w:ascii="Times New Roman" w:eastAsia="宋体" w:hAnsi="Times New Roman" w:cs="Times New Roman"/>
                <w:bCs/>
                <w:sz w:val="24"/>
                <w:szCs w:val="21"/>
              </w:rPr>
            </w:pPr>
            <w:r w:rsidRPr="006F57AF">
              <w:rPr>
                <w:rFonts w:ascii="Times New Roman" w:eastAsia="宋体" w:hAnsi="Times New Roman" w:cs="Times New Roman"/>
                <w:bCs/>
                <w:sz w:val="24"/>
                <w:szCs w:val="21"/>
              </w:rPr>
              <w:t>20 mg</w:t>
            </w:r>
            <w:r w:rsidRPr="006F57AF">
              <w:rPr>
                <w:rFonts w:ascii="Times New Roman" w:eastAsia="宋体" w:hAnsi="Times New Roman" w:cs="Times New Roman"/>
                <w:bCs/>
                <w:sz w:val="24"/>
                <w:szCs w:val="21"/>
                <w:vertAlign w:val="superscript"/>
              </w:rPr>
              <w:t>#</w:t>
            </w:r>
          </w:p>
        </w:tc>
      </w:tr>
      <w:tr w:rsidR="007A5BD9" w:rsidRPr="006F57AF">
        <w:trPr>
          <w:trHeight w:val="368"/>
        </w:trPr>
        <w:tc>
          <w:tcPr>
            <w:tcW w:w="2158" w:type="dxa"/>
          </w:tcPr>
          <w:p w:rsidR="007A5BD9" w:rsidRPr="006F57AF" w:rsidRDefault="006F57AF">
            <w:pPr>
              <w:spacing w:after="0" w:line="276" w:lineRule="auto"/>
              <w:rPr>
                <w:rFonts w:ascii="Times New Roman" w:eastAsia="宋体" w:hAnsi="Times New Roman" w:cs="Times New Roman"/>
                <w:bCs/>
                <w:sz w:val="24"/>
                <w:szCs w:val="21"/>
              </w:rPr>
            </w:pPr>
            <w:r w:rsidRPr="006F57AF">
              <w:rPr>
                <w:rFonts w:ascii="Times New Roman" w:eastAsia="宋体" w:hAnsi="Times New Roman" w:cs="Times New Roman"/>
                <w:bCs/>
                <w:sz w:val="24"/>
                <w:szCs w:val="21"/>
              </w:rPr>
              <w:t>艾司奥美拉</w:t>
            </w:r>
            <w:proofErr w:type="gramStart"/>
            <w:r w:rsidRPr="006F57AF">
              <w:rPr>
                <w:rFonts w:ascii="Times New Roman" w:eastAsia="宋体" w:hAnsi="Times New Roman" w:cs="Times New Roman"/>
                <w:bCs/>
                <w:sz w:val="24"/>
                <w:szCs w:val="21"/>
              </w:rPr>
              <w:t>唑</w:t>
            </w:r>
            <w:proofErr w:type="gramEnd"/>
          </w:p>
        </w:tc>
        <w:tc>
          <w:tcPr>
            <w:tcW w:w="2709" w:type="dxa"/>
          </w:tcPr>
          <w:p w:rsidR="007A5BD9" w:rsidRPr="006F57AF" w:rsidRDefault="006F57AF">
            <w:pPr>
              <w:spacing w:after="0" w:line="276" w:lineRule="auto"/>
              <w:rPr>
                <w:rFonts w:ascii="Times New Roman" w:eastAsia="宋体" w:hAnsi="Times New Roman" w:cs="Times New Roman"/>
                <w:bCs/>
                <w:sz w:val="24"/>
                <w:szCs w:val="21"/>
              </w:rPr>
            </w:pPr>
            <w:r w:rsidRPr="006F57AF">
              <w:rPr>
                <w:rFonts w:ascii="Times New Roman" w:eastAsia="宋体" w:hAnsi="Times New Roman" w:cs="Times New Roman" w:hint="eastAsia"/>
                <w:bCs/>
                <w:sz w:val="24"/>
                <w:szCs w:val="21"/>
              </w:rPr>
              <w:t>4</w:t>
            </w:r>
            <w:r w:rsidRPr="006F57AF">
              <w:rPr>
                <w:rFonts w:ascii="Times New Roman" w:eastAsia="宋体" w:hAnsi="Times New Roman" w:cs="Times New Roman"/>
                <w:bCs/>
                <w:sz w:val="24"/>
                <w:szCs w:val="21"/>
              </w:rPr>
              <w:t>0 mg</w:t>
            </w:r>
            <w:r w:rsidRPr="006F57AF">
              <w:rPr>
                <w:rFonts w:ascii="Times New Roman" w:eastAsia="宋体" w:hAnsi="Times New Roman" w:cs="Times New Roman"/>
                <w:bCs/>
                <w:sz w:val="24"/>
                <w:szCs w:val="21"/>
                <w:vertAlign w:val="superscript"/>
              </w:rPr>
              <w:t>+</w:t>
            </w:r>
          </w:p>
        </w:tc>
        <w:tc>
          <w:tcPr>
            <w:tcW w:w="2961" w:type="dxa"/>
          </w:tcPr>
          <w:p w:rsidR="007A5BD9" w:rsidRPr="006F57AF" w:rsidRDefault="006F57AF">
            <w:pPr>
              <w:spacing w:after="0" w:line="276" w:lineRule="auto"/>
              <w:rPr>
                <w:rFonts w:ascii="Times New Roman" w:eastAsia="宋体" w:hAnsi="Times New Roman" w:cs="Times New Roman"/>
                <w:bCs/>
                <w:sz w:val="24"/>
                <w:szCs w:val="21"/>
              </w:rPr>
            </w:pPr>
            <w:r w:rsidRPr="006F57AF">
              <w:rPr>
                <w:rFonts w:ascii="Times New Roman" w:eastAsia="宋体" w:hAnsi="Times New Roman" w:cs="Times New Roman"/>
                <w:bCs/>
                <w:sz w:val="24"/>
                <w:szCs w:val="21"/>
              </w:rPr>
              <w:t>40 mg</w:t>
            </w:r>
          </w:p>
        </w:tc>
      </w:tr>
      <w:tr w:rsidR="007A5BD9" w:rsidRPr="006F57AF">
        <w:trPr>
          <w:trHeight w:val="350"/>
        </w:trPr>
        <w:tc>
          <w:tcPr>
            <w:tcW w:w="2158" w:type="dxa"/>
            <w:tcBorders>
              <w:bottom w:val="single" w:sz="4" w:space="0" w:color="auto"/>
            </w:tcBorders>
          </w:tcPr>
          <w:p w:rsidR="007A5BD9" w:rsidRPr="006F57AF" w:rsidRDefault="006F57AF">
            <w:pPr>
              <w:spacing w:after="0" w:line="276" w:lineRule="auto"/>
              <w:rPr>
                <w:rFonts w:ascii="Times New Roman" w:eastAsia="宋体" w:hAnsi="Times New Roman" w:cs="Times New Roman"/>
                <w:bCs/>
                <w:sz w:val="24"/>
                <w:szCs w:val="21"/>
              </w:rPr>
            </w:pPr>
            <w:proofErr w:type="gramStart"/>
            <w:r w:rsidRPr="006F57AF">
              <w:rPr>
                <w:rFonts w:ascii="Times New Roman" w:eastAsia="宋体" w:hAnsi="Times New Roman" w:cs="Times New Roman"/>
                <w:bCs/>
                <w:sz w:val="24"/>
                <w:szCs w:val="21"/>
              </w:rPr>
              <w:t>艾普拉唑</w:t>
            </w:r>
            <w:proofErr w:type="gramEnd"/>
          </w:p>
        </w:tc>
        <w:tc>
          <w:tcPr>
            <w:tcW w:w="2709" w:type="dxa"/>
            <w:tcBorders>
              <w:bottom w:val="single" w:sz="4" w:space="0" w:color="auto"/>
            </w:tcBorders>
          </w:tcPr>
          <w:p w:rsidR="007A5BD9" w:rsidRPr="006F57AF" w:rsidRDefault="006F57AF">
            <w:pPr>
              <w:spacing w:after="0" w:line="276" w:lineRule="auto"/>
              <w:rPr>
                <w:rFonts w:ascii="Times New Roman" w:eastAsia="宋体" w:hAnsi="Times New Roman" w:cs="Times New Roman"/>
                <w:bCs/>
                <w:sz w:val="24"/>
                <w:szCs w:val="21"/>
              </w:rPr>
            </w:pPr>
            <w:r w:rsidRPr="006F57AF">
              <w:rPr>
                <w:rFonts w:ascii="Times New Roman" w:eastAsia="宋体" w:hAnsi="Times New Roman" w:cs="Times New Roman"/>
                <w:bCs/>
                <w:sz w:val="24"/>
                <w:szCs w:val="21"/>
              </w:rPr>
              <w:t>10 mg</w:t>
            </w:r>
          </w:p>
        </w:tc>
        <w:tc>
          <w:tcPr>
            <w:tcW w:w="2961" w:type="dxa"/>
            <w:tcBorders>
              <w:bottom w:val="single" w:sz="4" w:space="0" w:color="auto"/>
            </w:tcBorders>
          </w:tcPr>
          <w:p w:rsidR="007A5BD9" w:rsidRPr="006F57AF" w:rsidRDefault="006F57AF">
            <w:pPr>
              <w:spacing w:after="0" w:line="276" w:lineRule="auto"/>
              <w:rPr>
                <w:rFonts w:ascii="Times New Roman" w:eastAsia="宋体" w:hAnsi="Times New Roman" w:cs="Times New Roman"/>
                <w:bCs/>
                <w:sz w:val="24"/>
                <w:szCs w:val="21"/>
              </w:rPr>
            </w:pPr>
            <w:r w:rsidRPr="006F57AF">
              <w:rPr>
                <w:rFonts w:ascii="Times New Roman" w:eastAsia="宋体" w:hAnsi="Times New Roman" w:cs="Times New Roman"/>
                <w:bCs/>
                <w:sz w:val="24"/>
                <w:szCs w:val="21"/>
              </w:rPr>
              <w:t>10 mg</w:t>
            </w:r>
            <w:r w:rsidRPr="006F57AF">
              <w:rPr>
                <w:rFonts w:ascii="Times New Roman" w:eastAsia="宋体" w:hAnsi="Times New Roman" w:cs="Times New Roman"/>
                <w:bCs/>
                <w:sz w:val="24"/>
                <w:szCs w:val="21"/>
              </w:rPr>
              <w:t>（首剂加倍）</w:t>
            </w:r>
          </w:p>
        </w:tc>
      </w:tr>
    </w:tbl>
    <w:p w:rsidR="007A5BD9" w:rsidRDefault="000619DB">
      <w:pPr>
        <w:spacing w:line="276" w:lineRule="auto"/>
        <w:rPr>
          <w:rFonts w:ascii="Times New Roman" w:eastAsia="宋体" w:hAnsi="Times New Roman" w:cs="Times New Roman"/>
          <w:sz w:val="21"/>
          <w:szCs w:val="21"/>
        </w:rPr>
      </w:pPr>
      <w:r w:rsidRPr="000619DB">
        <w:rPr>
          <w:rFonts w:ascii="Times New Roman" w:eastAsia="宋体" w:hAnsi="Times New Roman" w:cs="Times New Roman" w:hint="eastAsia"/>
          <w:sz w:val="21"/>
          <w:szCs w:val="21"/>
        </w:rPr>
        <w:t>注：</w:t>
      </w:r>
      <w:r w:rsidR="006F57AF">
        <w:rPr>
          <w:rFonts w:ascii="Times New Roman" w:eastAsia="宋体" w:hAnsi="Times New Roman" w:cs="Times New Roman"/>
          <w:sz w:val="21"/>
          <w:szCs w:val="21"/>
          <w:vertAlign w:val="superscript"/>
        </w:rPr>
        <w:t>+</w:t>
      </w:r>
      <w:r w:rsidR="006F57AF">
        <w:rPr>
          <w:rFonts w:ascii="Times New Roman" w:eastAsia="宋体" w:hAnsi="Times New Roman" w:cs="Times New Roman"/>
          <w:sz w:val="21"/>
          <w:szCs w:val="21"/>
        </w:rPr>
        <w:t>为有</w:t>
      </w:r>
      <w:r w:rsidR="006F57AF">
        <w:rPr>
          <w:rFonts w:ascii="Times New Roman" w:eastAsia="宋体" w:hAnsi="Times New Roman" w:cs="Times New Roman"/>
          <w:sz w:val="21"/>
          <w:szCs w:val="21"/>
        </w:rPr>
        <w:t>MUPS</w:t>
      </w:r>
      <w:r w:rsidR="006F57AF">
        <w:rPr>
          <w:rFonts w:ascii="Times New Roman" w:eastAsia="宋体" w:hAnsi="Times New Roman" w:cs="Times New Roman"/>
          <w:sz w:val="21"/>
          <w:szCs w:val="21"/>
        </w:rPr>
        <w:t>剂型，可溶于水服用（或胃管入）；</w:t>
      </w:r>
      <w:r w:rsidR="006F57AF">
        <w:rPr>
          <w:rFonts w:ascii="Times New Roman" w:eastAsia="宋体" w:hAnsi="Times New Roman" w:cs="Times New Roman"/>
          <w:sz w:val="21"/>
          <w:szCs w:val="21"/>
          <w:vertAlign w:val="superscript"/>
        </w:rPr>
        <w:t>*</w:t>
      </w:r>
      <w:r w:rsidR="006F57AF">
        <w:rPr>
          <w:rFonts w:ascii="Times New Roman" w:eastAsia="宋体" w:hAnsi="Times New Roman" w:cs="Times New Roman"/>
          <w:sz w:val="21"/>
          <w:szCs w:val="21"/>
        </w:rPr>
        <w:t>为未在中国上市原</w:t>
      </w:r>
      <w:proofErr w:type="gramStart"/>
      <w:r w:rsidR="006F57AF">
        <w:rPr>
          <w:rFonts w:ascii="Times New Roman" w:eastAsia="宋体" w:hAnsi="Times New Roman" w:cs="Times New Roman"/>
          <w:sz w:val="21"/>
          <w:szCs w:val="21"/>
        </w:rPr>
        <w:t>研</w:t>
      </w:r>
      <w:proofErr w:type="gramEnd"/>
      <w:r w:rsidR="006F57AF">
        <w:rPr>
          <w:rFonts w:ascii="Times New Roman" w:eastAsia="宋体" w:hAnsi="Times New Roman" w:cs="Times New Roman"/>
          <w:sz w:val="21"/>
          <w:szCs w:val="21"/>
        </w:rPr>
        <w:t>注射剂型；</w:t>
      </w:r>
      <w:r w:rsidR="006F57AF">
        <w:rPr>
          <w:rFonts w:ascii="Times New Roman" w:eastAsia="宋体" w:hAnsi="Times New Roman" w:cs="Times New Roman"/>
          <w:sz w:val="21"/>
          <w:szCs w:val="21"/>
          <w:vertAlign w:val="superscript"/>
        </w:rPr>
        <w:t>#</w:t>
      </w:r>
      <w:r w:rsidR="006F57AF">
        <w:rPr>
          <w:rFonts w:ascii="Times New Roman" w:eastAsia="宋体" w:hAnsi="Times New Roman" w:cs="Times New Roman"/>
          <w:sz w:val="21"/>
          <w:szCs w:val="21"/>
        </w:rPr>
        <w:t>为无进口原</w:t>
      </w:r>
      <w:proofErr w:type="gramStart"/>
      <w:r w:rsidR="006F57AF">
        <w:rPr>
          <w:rFonts w:ascii="Times New Roman" w:eastAsia="宋体" w:hAnsi="Times New Roman" w:cs="Times New Roman"/>
          <w:sz w:val="21"/>
          <w:szCs w:val="21"/>
        </w:rPr>
        <w:t>研</w:t>
      </w:r>
      <w:proofErr w:type="gramEnd"/>
      <w:r w:rsidR="006F57AF">
        <w:rPr>
          <w:rFonts w:ascii="Times New Roman" w:eastAsia="宋体" w:hAnsi="Times New Roman" w:cs="Times New Roman"/>
          <w:sz w:val="21"/>
          <w:szCs w:val="21"/>
        </w:rPr>
        <w:t>针剂。</w:t>
      </w:r>
    </w:p>
    <w:p w:rsidR="007A5BD9" w:rsidRDefault="007A5BD9">
      <w:pPr>
        <w:ind w:firstLineChars="200" w:firstLine="400"/>
        <w:contextualSpacing/>
        <w:rPr>
          <w:rFonts w:ascii="微软雅黑" w:eastAsia="微软雅黑" w:hAnsi="微软雅黑" w:cs="宋体"/>
          <w:sz w:val="20"/>
          <w:szCs w:val="20"/>
        </w:rPr>
      </w:pPr>
    </w:p>
    <w:p w:rsidR="007A5BD9" w:rsidRPr="002600DE" w:rsidRDefault="002600DE" w:rsidP="002600DE">
      <w:pPr>
        <w:spacing w:line="276" w:lineRule="auto"/>
        <w:rPr>
          <w:rFonts w:ascii="黑体" w:eastAsia="黑体" w:hAnsi="黑体" w:cs="宋体"/>
          <w:sz w:val="24"/>
        </w:rPr>
      </w:pPr>
      <w:r w:rsidRPr="002600DE">
        <w:rPr>
          <w:rFonts w:ascii="黑体" w:eastAsia="黑体" w:hAnsi="黑体" w:cs="宋体" w:hint="eastAsia"/>
          <w:sz w:val="24"/>
        </w:rPr>
        <w:t xml:space="preserve">2  </w:t>
      </w:r>
      <w:r w:rsidR="006F57AF" w:rsidRPr="002600DE">
        <w:rPr>
          <w:rFonts w:ascii="黑体" w:eastAsia="黑体" w:hAnsi="黑体" w:cs="宋体" w:hint="eastAsia"/>
          <w:sz w:val="24"/>
        </w:rPr>
        <w:t>预防性使用</w:t>
      </w:r>
      <w:r w:rsidR="006F57AF" w:rsidRPr="00890F61">
        <w:rPr>
          <w:rFonts w:ascii="Times New Roman" w:eastAsia="黑体" w:hAnsi="Times New Roman" w:cs="Times New Roman"/>
          <w:sz w:val="24"/>
        </w:rPr>
        <w:t>PPI</w:t>
      </w:r>
      <w:r w:rsidR="006F57AF" w:rsidRPr="002600DE">
        <w:rPr>
          <w:rFonts w:ascii="黑体" w:eastAsia="黑体" w:hAnsi="黑体" w:cs="宋体" w:hint="eastAsia"/>
          <w:sz w:val="24"/>
        </w:rPr>
        <w:t>的范围</w:t>
      </w:r>
    </w:p>
    <w:p w:rsidR="007A5BD9" w:rsidRPr="009A72B1" w:rsidRDefault="002600DE" w:rsidP="00703EA2">
      <w:pPr>
        <w:spacing w:after="0" w:line="276" w:lineRule="auto"/>
        <w:jc w:val="both"/>
        <w:rPr>
          <w:rFonts w:ascii="Times New Roman" w:eastAsia="微软雅黑" w:hAnsi="Times New Roman" w:cs="Times New Roman"/>
          <w:b/>
          <w:sz w:val="24"/>
          <w:szCs w:val="24"/>
        </w:rPr>
      </w:pPr>
      <w:r w:rsidRPr="007530BA">
        <w:rPr>
          <w:rFonts w:ascii="黑体" w:eastAsia="黑体" w:hAnsi="黑体" w:cs="Times New Roman"/>
          <w:sz w:val="24"/>
          <w:szCs w:val="24"/>
        </w:rPr>
        <w:t>2.1</w:t>
      </w:r>
      <w:r w:rsidR="007530BA">
        <w:rPr>
          <w:rFonts w:ascii="黑体" w:eastAsia="黑体" w:hAnsi="黑体" w:cs="Times New Roman" w:hint="eastAsia"/>
          <w:sz w:val="24"/>
          <w:szCs w:val="24"/>
        </w:rPr>
        <w:t xml:space="preserve">  </w:t>
      </w:r>
      <w:r w:rsidR="006F57AF" w:rsidRPr="009A72B1">
        <w:rPr>
          <w:rFonts w:ascii="Times New Roman" w:eastAsia="仿宋_GB2312" w:hAnsi="Times New Roman" w:cs="Times New Roman"/>
          <w:sz w:val="24"/>
          <w:szCs w:val="24"/>
        </w:rPr>
        <w:t>应激性黏膜病变（</w:t>
      </w:r>
      <w:r w:rsidR="006F57AF" w:rsidRPr="009A72B1">
        <w:rPr>
          <w:rFonts w:ascii="Times New Roman" w:eastAsia="仿宋_GB2312" w:hAnsi="Times New Roman" w:cs="Times New Roman"/>
          <w:sz w:val="24"/>
          <w:szCs w:val="24"/>
        </w:rPr>
        <w:t>SRMD</w:t>
      </w:r>
      <w:r w:rsidR="006F57AF" w:rsidRPr="009A72B1">
        <w:rPr>
          <w:rFonts w:ascii="Times New Roman" w:eastAsia="仿宋_GB2312" w:hAnsi="Times New Roman" w:cs="Times New Roman"/>
          <w:sz w:val="24"/>
          <w:szCs w:val="24"/>
        </w:rPr>
        <w:t>）</w:t>
      </w:r>
    </w:p>
    <w:p w:rsidR="007A5BD9" w:rsidRPr="00890F61" w:rsidRDefault="006F57AF" w:rsidP="00703EA2">
      <w:pPr>
        <w:spacing w:after="0" w:line="276" w:lineRule="auto"/>
        <w:ind w:firstLineChars="200" w:firstLine="480"/>
        <w:contextualSpacing/>
        <w:jc w:val="both"/>
        <w:rPr>
          <w:rFonts w:ascii="Times New Roman" w:eastAsia="宋体" w:hAnsi="Times New Roman" w:cs="Times New Roman"/>
          <w:sz w:val="24"/>
          <w:szCs w:val="24"/>
        </w:rPr>
      </w:pPr>
      <w:bookmarkStart w:id="2" w:name="_Hlk526460430"/>
      <w:r w:rsidRPr="00890F61">
        <w:rPr>
          <w:rFonts w:ascii="Times New Roman" w:eastAsia="宋体" w:hAnsi="Times New Roman" w:cs="Times New Roman"/>
          <w:sz w:val="24"/>
          <w:szCs w:val="24"/>
        </w:rPr>
        <w:t>从</w:t>
      </w:r>
      <w:r w:rsidRPr="00890F61">
        <w:rPr>
          <w:rFonts w:ascii="Times New Roman" w:eastAsia="宋体" w:hAnsi="Times New Roman" w:cs="Times New Roman"/>
          <w:sz w:val="24"/>
          <w:szCs w:val="24"/>
        </w:rPr>
        <w:t>1842</w:t>
      </w:r>
      <w:r w:rsidRPr="00890F61">
        <w:rPr>
          <w:rFonts w:ascii="Times New Roman" w:eastAsia="宋体" w:hAnsi="Times New Roman" w:cs="Times New Roman"/>
          <w:sz w:val="24"/>
          <w:szCs w:val="24"/>
        </w:rPr>
        <w:t>年</w:t>
      </w:r>
      <w:r w:rsidRPr="00890F61">
        <w:rPr>
          <w:rFonts w:ascii="Times New Roman" w:eastAsia="宋体" w:hAnsi="Times New Roman" w:cs="Times New Roman"/>
          <w:sz w:val="24"/>
          <w:szCs w:val="24"/>
        </w:rPr>
        <w:t>Curling</w:t>
      </w:r>
      <w:r w:rsidRPr="00890F61">
        <w:rPr>
          <w:rFonts w:ascii="Times New Roman" w:eastAsia="宋体" w:hAnsi="Times New Roman" w:cs="Times New Roman"/>
          <w:sz w:val="24"/>
          <w:szCs w:val="24"/>
        </w:rPr>
        <w:t>首次报道严重烧伤后的急性十二指肠溃疡</w:t>
      </w:r>
      <w:r w:rsidRPr="00890F61">
        <w:rPr>
          <w:rFonts w:ascii="Times New Roman" w:eastAsia="宋体" w:hAnsi="Times New Roman" w:cs="Times New Roman"/>
          <w:sz w:val="24"/>
          <w:szCs w:val="24"/>
          <w:vertAlign w:val="superscript"/>
        </w:rPr>
        <w:t>[7]</w:t>
      </w:r>
      <w:r w:rsidRPr="00890F61">
        <w:rPr>
          <w:rFonts w:ascii="Times New Roman" w:eastAsia="宋体" w:hAnsi="Times New Roman" w:cs="Times New Roman"/>
          <w:sz w:val="24"/>
          <w:szCs w:val="24"/>
        </w:rPr>
        <w:t>，到</w:t>
      </w:r>
      <w:r w:rsidRPr="00890F61">
        <w:rPr>
          <w:rFonts w:ascii="Times New Roman" w:eastAsia="宋体" w:hAnsi="Times New Roman" w:cs="Times New Roman"/>
          <w:sz w:val="24"/>
          <w:szCs w:val="24"/>
        </w:rPr>
        <w:t>1932</w:t>
      </w:r>
      <w:r w:rsidRPr="00890F61">
        <w:rPr>
          <w:rFonts w:ascii="Times New Roman" w:eastAsia="宋体" w:hAnsi="Times New Roman" w:cs="Times New Roman"/>
          <w:sz w:val="24"/>
          <w:szCs w:val="24"/>
        </w:rPr>
        <w:t>年</w:t>
      </w:r>
      <w:r w:rsidRPr="00890F61">
        <w:rPr>
          <w:rFonts w:ascii="Times New Roman" w:eastAsia="宋体" w:hAnsi="Times New Roman" w:cs="Times New Roman"/>
          <w:sz w:val="24"/>
          <w:szCs w:val="24"/>
        </w:rPr>
        <w:t>Cushing</w:t>
      </w:r>
      <w:r w:rsidRPr="00890F61">
        <w:rPr>
          <w:rFonts w:ascii="Times New Roman" w:eastAsia="宋体" w:hAnsi="Times New Roman" w:cs="Times New Roman"/>
          <w:sz w:val="24"/>
          <w:szCs w:val="24"/>
        </w:rPr>
        <w:t>报道了颅内肿瘤、创伤或其他占位病变引起的颅内高压导致的胃十二指肠溃疡</w:t>
      </w:r>
      <w:r w:rsidRPr="00890F61">
        <w:rPr>
          <w:rFonts w:ascii="Times New Roman" w:eastAsia="宋体" w:hAnsi="Times New Roman" w:cs="Times New Roman"/>
          <w:sz w:val="24"/>
          <w:szCs w:val="24"/>
          <w:vertAlign w:val="superscript"/>
        </w:rPr>
        <w:t>[8]</w:t>
      </w:r>
      <w:r w:rsidRPr="00890F61">
        <w:rPr>
          <w:rFonts w:ascii="Times New Roman" w:eastAsia="宋体" w:hAnsi="Times New Roman" w:cs="Times New Roman"/>
          <w:sz w:val="24"/>
          <w:szCs w:val="24"/>
        </w:rPr>
        <w:t>，人们发现胃</w:t>
      </w:r>
      <w:r w:rsidR="00F319EB">
        <w:rPr>
          <w:rFonts w:ascii="Times New Roman" w:eastAsia="宋体" w:hAnsi="Times New Roman" w:cs="Times New Roman" w:hint="eastAsia"/>
          <w:sz w:val="24"/>
          <w:szCs w:val="24"/>
        </w:rPr>
        <w:t>黏</w:t>
      </w:r>
      <w:r w:rsidRPr="00890F61">
        <w:rPr>
          <w:rFonts w:ascii="Times New Roman" w:eastAsia="宋体" w:hAnsi="Times New Roman" w:cs="Times New Roman"/>
          <w:sz w:val="24"/>
          <w:szCs w:val="24"/>
        </w:rPr>
        <w:t>膜对危重疾病中的血液动力学变化和炎症信号都极其敏感，当个体遭受异常增加的生理需求会诱导急性胃</w:t>
      </w:r>
      <w:r w:rsidR="00F319EB">
        <w:rPr>
          <w:rFonts w:ascii="Times New Roman" w:eastAsia="宋体" w:hAnsi="Times New Roman" w:cs="Times New Roman" w:hint="eastAsia"/>
          <w:sz w:val="24"/>
          <w:szCs w:val="24"/>
        </w:rPr>
        <w:t>黏</w:t>
      </w:r>
      <w:r w:rsidRPr="00890F61">
        <w:rPr>
          <w:rFonts w:ascii="Times New Roman" w:eastAsia="宋体" w:hAnsi="Times New Roman" w:cs="Times New Roman"/>
          <w:sz w:val="24"/>
          <w:szCs w:val="24"/>
        </w:rPr>
        <w:t>膜损害，发生糜烂，溃疡，出血等病变，严重者可导致消化道穿孔，危及患者生命。</w:t>
      </w:r>
    </w:p>
    <w:p w:rsidR="007A5BD9" w:rsidRPr="00890F61" w:rsidRDefault="006F57AF" w:rsidP="00703EA2">
      <w:pPr>
        <w:spacing w:line="276" w:lineRule="auto"/>
        <w:ind w:firstLineChars="200" w:firstLine="480"/>
        <w:contextualSpacing/>
        <w:jc w:val="both"/>
        <w:rPr>
          <w:rFonts w:ascii="Times New Roman" w:eastAsia="宋体" w:hAnsi="Times New Roman" w:cs="Times New Roman"/>
          <w:sz w:val="24"/>
          <w:szCs w:val="24"/>
        </w:rPr>
      </w:pPr>
      <w:r w:rsidRPr="00890F61">
        <w:rPr>
          <w:rFonts w:ascii="Times New Roman" w:eastAsia="宋体" w:hAnsi="Times New Roman" w:cs="Times New Roman"/>
          <w:sz w:val="24"/>
          <w:szCs w:val="24"/>
        </w:rPr>
        <w:t>SRMD</w:t>
      </w:r>
      <w:r w:rsidRPr="00890F61">
        <w:rPr>
          <w:rFonts w:ascii="Times New Roman" w:eastAsia="宋体" w:hAnsi="Times New Roman" w:cs="Times New Roman"/>
          <w:sz w:val="24"/>
          <w:szCs w:val="24"/>
        </w:rPr>
        <w:t>常见于急诊，重症监护病房（</w:t>
      </w:r>
      <w:r w:rsidRPr="00890F61">
        <w:rPr>
          <w:rFonts w:ascii="Times New Roman" w:eastAsia="宋体" w:hAnsi="Times New Roman" w:cs="Times New Roman"/>
          <w:sz w:val="24"/>
          <w:szCs w:val="24"/>
        </w:rPr>
        <w:t>ICU</w:t>
      </w:r>
      <w:r w:rsidRPr="00890F61">
        <w:rPr>
          <w:rFonts w:ascii="Times New Roman" w:eastAsia="宋体" w:hAnsi="Times New Roman" w:cs="Times New Roman"/>
          <w:sz w:val="24"/>
          <w:szCs w:val="24"/>
        </w:rPr>
        <w:t>），神经外科，普通外科等。我国一项多中心回顾研究显示，神经外科重症患者</w:t>
      </w:r>
      <w:r w:rsidRPr="00890F61">
        <w:rPr>
          <w:rFonts w:ascii="Times New Roman" w:eastAsia="宋体" w:hAnsi="Times New Roman" w:cs="Times New Roman"/>
          <w:sz w:val="24"/>
          <w:szCs w:val="24"/>
        </w:rPr>
        <w:t>14</w:t>
      </w:r>
      <w:r w:rsidR="002600DE" w:rsidRPr="00890F61">
        <w:rPr>
          <w:rFonts w:ascii="Times New Roman" w:eastAsia="宋体" w:hAnsi="Times New Roman" w:cs="Times New Roman"/>
          <w:sz w:val="24"/>
          <w:szCs w:val="24"/>
        </w:rPr>
        <w:t xml:space="preserve"> d</w:t>
      </w:r>
      <w:r w:rsidRPr="00890F61">
        <w:rPr>
          <w:rFonts w:ascii="Times New Roman" w:eastAsia="宋体" w:hAnsi="Times New Roman" w:cs="Times New Roman"/>
          <w:sz w:val="24"/>
          <w:szCs w:val="24"/>
        </w:rPr>
        <w:t>内消化道出血发生率高达</w:t>
      </w:r>
      <w:r w:rsidRPr="00890F61">
        <w:rPr>
          <w:rFonts w:ascii="Times New Roman" w:eastAsia="宋体" w:hAnsi="Times New Roman" w:cs="Times New Roman"/>
          <w:sz w:val="24"/>
          <w:szCs w:val="24"/>
        </w:rPr>
        <w:t>12.9</w:t>
      </w:r>
      <w:r w:rsidR="002600DE" w:rsidRPr="00890F61">
        <w:rPr>
          <w:rFonts w:ascii="Times New Roman" w:eastAsia="宋体" w:hAnsi="Times New Roman" w:cs="Times New Roman"/>
          <w:sz w:val="24"/>
          <w:szCs w:val="24"/>
        </w:rPr>
        <w:t>%</w:t>
      </w:r>
      <w:r w:rsidRPr="00890F61">
        <w:rPr>
          <w:rFonts w:ascii="Times New Roman" w:eastAsia="宋体" w:hAnsi="Times New Roman" w:cs="Times New Roman"/>
          <w:sz w:val="24"/>
          <w:szCs w:val="24"/>
        </w:rPr>
        <w:t xml:space="preserve">, </w:t>
      </w:r>
      <w:r w:rsidRPr="00890F61">
        <w:rPr>
          <w:rFonts w:ascii="Times New Roman" w:eastAsia="宋体" w:hAnsi="Times New Roman" w:cs="Times New Roman"/>
          <w:sz w:val="24"/>
          <w:szCs w:val="24"/>
        </w:rPr>
        <w:t>出现应激性上消化道出血的平均时间为</w:t>
      </w:r>
      <w:r w:rsidRPr="00890F61">
        <w:rPr>
          <w:rFonts w:ascii="Times New Roman" w:eastAsia="宋体" w:hAnsi="Times New Roman" w:cs="Times New Roman"/>
          <w:sz w:val="24"/>
          <w:szCs w:val="24"/>
        </w:rPr>
        <w:t>2.9</w:t>
      </w:r>
      <w:r w:rsidR="002600DE" w:rsidRPr="00890F61">
        <w:rPr>
          <w:rFonts w:ascii="Times New Roman" w:eastAsia="宋体" w:hAnsi="Times New Roman" w:cs="Times New Roman"/>
          <w:sz w:val="24"/>
          <w:szCs w:val="24"/>
        </w:rPr>
        <w:t xml:space="preserve"> d</w:t>
      </w:r>
      <w:r w:rsidRPr="00890F61">
        <w:rPr>
          <w:rFonts w:ascii="Times New Roman" w:eastAsia="宋体" w:hAnsi="Times New Roman" w:cs="Times New Roman"/>
          <w:sz w:val="24"/>
          <w:szCs w:val="24"/>
          <w:vertAlign w:val="superscript"/>
        </w:rPr>
        <w:t>[9]</w:t>
      </w:r>
      <w:r w:rsidRPr="00890F61">
        <w:rPr>
          <w:rFonts w:ascii="Times New Roman" w:eastAsia="宋体" w:hAnsi="Times New Roman" w:cs="Times New Roman"/>
          <w:sz w:val="24"/>
          <w:szCs w:val="24"/>
        </w:rPr>
        <w:t>。</w:t>
      </w:r>
    </w:p>
    <w:bookmarkEnd w:id="2"/>
    <w:p w:rsidR="007A5BD9" w:rsidRPr="002600DE" w:rsidRDefault="006F57AF" w:rsidP="00890F61">
      <w:pPr>
        <w:spacing w:before="240" w:after="0" w:line="276" w:lineRule="auto"/>
        <w:ind w:firstLineChars="200" w:firstLine="482"/>
        <w:jc w:val="both"/>
        <w:rPr>
          <w:rFonts w:ascii="宋体" w:eastAsia="宋体" w:hAnsi="宋体" w:cs="宋体"/>
          <w:sz w:val="24"/>
          <w:szCs w:val="24"/>
        </w:rPr>
      </w:pPr>
      <w:r w:rsidRPr="007B0DEE">
        <w:rPr>
          <w:rFonts w:ascii="宋体" w:eastAsia="宋体" w:hAnsi="宋体" w:hint="eastAsia"/>
          <w:b/>
          <w:sz w:val="24"/>
          <w:szCs w:val="24"/>
        </w:rPr>
        <w:t>预防性用药指征</w:t>
      </w:r>
      <w:r w:rsidR="007B0DEE" w:rsidRPr="007B0DEE">
        <w:rPr>
          <w:rFonts w:ascii="宋体" w:eastAsia="宋体" w:hAnsi="宋体" w:hint="eastAsia"/>
          <w:b/>
          <w:sz w:val="24"/>
          <w:szCs w:val="24"/>
        </w:rPr>
        <w:t>：</w:t>
      </w:r>
      <w:r w:rsidRPr="00890F61">
        <w:rPr>
          <w:rFonts w:ascii="Times New Roman" w:eastAsia="宋体" w:hAnsi="Times New Roman" w:cs="Times New Roman"/>
          <w:sz w:val="24"/>
          <w:szCs w:val="24"/>
        </w:rPr>
        <w:t>临床应根据疾病情况结合危险因素判断患者是否需要使用</w:t>
      </w:r>
      <w:r w:rsidRPr="00890F61">
        <w:rPr>
          <w:rFonts w:ascii="Times New Roman" w:eastAsia="宋体" w:hAnsi="Times New Roman" w:cs="Times New Roman"/>
          <w:sz w:val="24"/>
          <w:szCs w:val="24"/>
        </w:rPr>
        <w:t>PPI</w:t>
      </w:r>
      <w:r w:rsidRPr="00890F61">
        <w:rPr>
          <w:rFonts w:ascii="Times New Roman" w:eastAsia="宋体" w:hAnsi="Times New Roman" w:cs="Times New Roman"/>
          <w:sz w:val="24"/>
          <w:szCs w:val="24"/>
        </w:rPr>
        <w:t>预防</w:t>
      </w:r>
      <w:r w:rsidRPr="00890F61">
        <w:rPr>
          <w:rFonts w:ascii="Times New Roman" w:eastAsia="宋体" w:hAnsi="Times New Roman" w:cs="Times New Roman"/>
          <w:sz w:val="24"/>
          <w:szCs w:val="24"/>
        </w:rPr>
        <w:t>SRMD</w:t>
      </w:r>
      <w:r w:rsidRPr="00890F61">
        <w:rPr>
          <w:rFonts w:ascii="Times New Roman" w:eastAsia="宋体" w:hAnsi="Times New Roman" w:cs="Times New Roman"/>
          <w:sz w:val="24"/>
          <w:szCs w:val="24"/>
        </w:rPr>
        <w:t>。危险因素汇总见表</w:t>
      </w:r>
      <w:r w:rsidRPr="00890F61">
        <w:rPr>
          <w:rFonts w:ascii="Times New Roman" w:eastAsia="宋体" w:hAnsi="Times New Roman" w:cs="Times New Roman"/>
          <w:sz w:val="24"/>
          <w:szCs w:val="24"/>
        </w:rPr>
        <w:t>2</w:t>
      </w:r>
      <w:r w:rsidRPr="00890F61">
        <w:rPr>
          <w:rFonts w:ascii="Times New Roman" w:eastAsia="宋体" w:hAnsi="Times New Roman" w:cs="Times New Roman"/>
          <w:sz w:val="24"/>
          <w:szCs w:val="24"/>
          <w:vertAlign w:val="superscript"/>
        </w:rPr>
        <w:t>[10-13]</w:t>
      </w:r>
      <w:r w:rsidRPr="00890F61">
        <w:rPr>
          <w:rFonts w:ascii="Times New Roman" w:eastAsia="宋体" w:hAnsi="Times New Roman" w:cs="Times New Roman"/>
          <w:sz w:val="24"/>
          <w:szCs w:val="24"/>
        </w:rPr>
        <w:t>。</w:t>
      </w:r>
    </w:p>
    <w:p w:rsidR="002600DE" w:rsidRPr="00890F61" w:rsidRDefault="007B0DEE" w:rsidP="00890F61">
      <w:pPr>
        <w:spacing w:after="0" w:line="276" w:lineRule="auto"/>
        <w:ind w:firstLineChars="200" w:firstLine="482"/>
        <w:jc w:val="both"/>
        <w:rPr>
          <w:rFonts w:ascii="Times New Roman" w:eastAsia="宋体" w:hAnsi="Times New Roman" w:cs="Times New Roman"/>
          <w:sz w:val="24"/>
          <w:szCs w:val="24"/>
        </w:rPr>
      </w:pPr>
      <w:r w:rsidRPr="007B0DEE">
        <w:rPr>
          <w:rFonts w:ascii="Times New Roman" w:eastAsia="黑体" w:hAnsi="Times New Roman" w:cs="Times New Roman" w:hint="eastAsia"/>
          <w:b/>
          <w:sz w:val="24"/>
        </w:rPr>
        <w:t xml:space="preserve"> </w:t>
      </w:r>
      <w:r w:rsidR="002600DE" w:rsidRPr="007B0DEE">
        <w:rPr>
          <w:rFonts w:ascii="Times New Roman" w:eastAsia="宋体" w:hAnsi="Times New Roman" w:cs="Times New Roman"/>
          <w:b/>
          <w:sz w:val="24"/>
          <w:szCs w:val="24"/>
        </w:rPr>
        <w:t>用药建议</w:t>
      </w:r>
      <w:r w:rsidRPr="007B0DEE">
        <w:rPr>
          <w:rFonts w:ascii="Times New Roman" w:eastAsia="宋体" w:hAnsi="Times New Roman" w:cs="Times New Roman" w:hint="eastAsia"/>
          <w:b/>
          <w:sz w:val="24"/>
          <w:szCs w:val="24"/>
        </w:rPr>
        <w:t>：</w:t>
      </w:r>
      <w:r w:rsidR="002600DE" w:rsidRPr="00890F61">
        <w:rPr>
          <w:rFonts w:ascii="Times New Roman" w:eastAsia="宋体" w:hAnsi="Times New Roman" w:cs="Times New Roman"/>
          <w:sz w:val="24"/>
          <w:szCs w:val="24"/>
        </w:rPr>
        <w:t>预防目标是控制胃内</w:t>
      </w:r>
      <w:r w:rsidR="002600DE" w:rsidRPr="00890F61">
        <w:rPr>
          <w:rFonts w:ascii="Times New Roman" w:eastAsia="宋体" w:hAnsi="Times New Roman" w:cs="Times New Roman"/>
          <w:sz w:val="24"/>
          <w:szCs w:val="24"/>
        </w:rPr>
        <w:t>pH</w:t>
      </w:r>
      <w:r w:rsidR="003573E7" w:rsidRPr="00890F61">
        <w:rPr>
          <w:rFonts w:ascii="Times New Roman" w:eastAsia="宋体" w:hAnsi="Times New Roman" w:cs="Times New Roman"/>
          <w:sz w:val="24"/>
          <w:szCs w:val="24"/>
        </w:rPr>
        <w:t>≥</w:t>
      </w:r>
      <w:r w:rsidR="002600DE" w:rsidRPr="00890F61">
        <w:rPr>
          <w:rFonts w:ascii="Times New Roman" w:eastAsia="宋体" w:hAnsi="Times New Roman" w:cs="Times New Roman"/>
          <w:sz w:val="24"/>
          <w:szCs w:val="24"/>
        </w:rPr>
        <w:t>4</w:t>
      </w:r>
      <w:r w:rsidR="002600DE" w:rsidRPr="00890F61">
        <w:rPr>
          <w:rFonts w:ascii="Times New Roman" w:eastAsia="宋体" w:hAnsi="Times New Roman" w:cs="Times New Roman"/>
          <w:sz w:val="24"/>
          <w:szCs w:val="24"/>
        </w:rPr>
        <w:t>，可选择</w:t>
      </w:r>
      <w:r w:rsidR="002600DE" w:rsidRPr="00890F61">
        <w:rPr>
          <w:rFonts w:ascii="Times New Roman" w:eastAsia="宋体" w:hAnsi="Times New Roman" w:cs="Times New Roman"/>
          <w:sz w:val="24"/>
          <w:szCs w:val="24"/>
        </w:rPr>
        <w:t>H</w:t>
      </w:r>
      <w:r w:rsidR="002600DE" w:rsidRPr="00890F61">
        <w:rPr>
          <w:rFonts w:ascii="Times New Roman" w:eastAsia="宋体" w:hAnsi="Times New Roman" w:cs="Times New Roman"/>
          <w:sz w:val="24"/>
          <w:szCs w:val="24"/>
          <w:vertAlign w:val="subscript"/>
        </w:rPr>
        <w:t>2</w:t>
      </w:r>
      <w:r w:rsidR="002600DE" w:rsidRPr="00890F61">
        <w:rPr>
          <w:rFonts w:ascii="Times New Roman" w:eastAsia="宋体" w:hAnsi="Times New Roman" w:cs="Times New Roman"/>
          <w:sz w:val="24"/>
          <w:szCs w:val="24"/>
        </w:rPr>
        <w:t>RA</w:t>
      </w:r>
      <w:r w:rsidR="002600DE" w:rsidRPr="00890F61">
        <w:rPr>
          <w:rFonts w:ascii="Times New Roman" w:eastAsia="宋体" w:hAnsi="Times New Roman" w:cs="Times New Roman"/>
          <w:sz w:val="24"/>
          <w:szCs w:val="24"/>
        </w:rPr>
        <w:t>和</w:t>
      </w:r>
      <w:r w:rsidR="002600DE" w:rsidRPr="00890F61">
        <w:rPr>
          <w:rFonts w:ascii="Times New Roman" w:eastAsia="宋体" w:hAnsi="Times New Roman" w:cs="Times New Roman"/>
          <w:sz w:val="24"/>
          <w:szCs w:val="24"/>
        </w:rPr>
        <w:t>PPI</w:t>
      </w:r>
      <w:r w:rsidR="002600DE" w:rsidRPr="00890F61">
        <w:rPr>
          <w:rFonts w:ascii="Times New Roman" w:eastAsia="宋体" w:hAnsi="Times New Roman" w:cs="Times New Roman"/>
          <w:sz w:val="24"/>
          <w:szCs w:val="24"/>
          <w:vertAlign w:val="superscript"/>
        </w:rPr>
        <w:t>[14]</w:t>
      </w:r>
      <w:r w:rsidR="002600DE" w:rsidRPr="00890F61">
        <w:rPr>
          <w:rFonts w:ascii="Times New Roman" w:eastAsia="宋体" w:hAnsi="Times New Roman" w:cs="Times New Roman"/>
          <w:sz w:val="24"/>
          <w:szCs w:val="24"/>
        </w:rPr>
        <w:t>。</w:t>
      </w:r>
      <w:r w:rsidR="002600DE" w:rsidRPr="00890F61">
        <w:rPr>
          <w:rFonts w:ascii="Times New Roman" w:eastAsia="宋体" w:hAnsi="Times New Roman" w:cs="Times New Roman"/>
          <w:sz w:val="24"/>
          <w:szCs w:val="24"/>
        </w:rPr>
        <w:t>PPI</w:t>
      </w:r>
      <w:r w:rsidR="002600DE" w:rsidRPr="00890F61">
        <w:rPr>
          <w:rFonts w:ascii="Times New Roman" w:eastAsia="宋体" w:hAnsi="Times New Roman" w:cs="Times New Roman"/>
          <w:sz w:val="24"/>
          <w:szCs w:val="24"/>
        </w:rPr>
        <w:t>静脉滴注，常规剂量</w:t>
      </w:r>
      <w:r w:rsidR="002600DE" w:rsidRPr="00890F61">
        <w:rPr>
          <w:rFonts w:ascii="Times New Roman" w:eastAsia="宋体" w:hAnsi="Times New Roman" w:cs="Times New Roman"/>
          <w:kern w:val="2"/>
          <w:sz w:val="24"/>
          <w:szCs w:val="24"/>
        </w:rPr>
        <w:t>，</w:t>
      </w:r>
      <w:r w:rsidR="002600DE" w:rsidRPr="00890F61">
        <w:rPr>
          <w:rFonts w:ascii="Times New Roman" w:eastAsia="宋体" w:hAnsi="Times New Roman" w:cs="Times New Roman"/>
          <w:sz w:val="24"/>
          <w:szCs w:val="24"/>
        </w:rPr>
        <w:t>用药疗程一般</w:t>
      </w:r>
      <w:r w:rsidR="002600DE" w:rsidRPr="00890F61">
        <w:rPr>
          <w:rFonts w:ascii="Times New Roman" w:eastAsia="宋体" w:hAnsi="Times New Roman" w:cs="Times New Roman"/>
          <w:sz w:val="24"/>
          <w:szCs w:val="24"/>
        </w:rPr>
        <w:t>3</w:t>
      </w:r>
      <w:r w:rsidR="002600DE" w:rsidRPr="00890F61">
        <w:rPr>
          <w:rFonts w:ascii="Times New Roman" w:eastAsia="宋体" w:hAnsi="Times New Roman" w:cs="Times New Roman"/>
          <w:sz w:val="24"/>
          <w:szCs w:val="24"/>
        </w:rPr>
        <w:t>～</w:t>
      </w:r>
      <w:r w:rsidR="002600DE" w:rsidRPr="00890F61">
        <w:rPr>
          <w:rFonts w:ascii="Times New Roman" w:eastAsia="宋体" w:hAnsi="Times New Roman" w:cs="Times New Roman"/>
          <w:sz w:val="24"/>
          <w:szCs w:val="24"/>
        </w:rPr>
        <w:t>7 d</w:t>
      </w:r>
      <w:r w:rsidR="002600DE" w:rsidRPr="00890F61">
        <w:rPr>
          <w:rFonts w:ascii="Times New Roman" w:eastAsia="宋体" w:hAnsi="Times New Roman" w:cs="Times New Roman"/>
          <w:sz w:val="24"/>
          <w:szCs w:val="24"/>
        </w:rPr>
        <w:t>，当患者病情稳定，可逐渐停药</w:t>
      </w:r>
      <w:r w:rsidR="002600DE" w:rsidRPr="00890F61">
        <w:rPr>
          <w:rFonts w:ascii="Times New Roman" w:eastAsia="宋体" w:hAnsi="Times New Roman" w:cs="Times New Roman"/>
          <w:sz w:val="24"/>
          <w:szCs w:val="24"/>
          <w:vertAlign w:val="superscript"/>
        </w:rPr>
        <w:t>[15-16]</w:t>
      </w:r>
      <w:r w:rsidR="002600DE" w:rsidRPr="00890F61">
        <w:rPr>
          <w:rFonts w:ascii="Times New Roman" w:eastAsia="宋体" w:hAnsi="Times New Roman" w:cs="Times New Roman"/>
          <w:sz w:val="24"/>
          <w:szCs w:val="24"/>
        </w:rPr>
        <w:t>。</w:t>
      </w:r>
    </w:p>
    <w:p w:rsidR="009A72B1" w:rsidRDefault="009A72B1">
      <w:pPr>
        <w:ind w:firstLineChars="200" w:firstLine="400"/>
        <w:rPr>
          <w:rFonts w:ascii="微软雅黑" w:eastAsia="微软雅黑" w:hAnsi="微软雅黑" w:cs="宋体"/>
          <w:sz w:val="20"/>
          <w:vertAlign w:val="superscript"/>
        </w:rPr>
      </w:pPr>
    </w:p>
    <w:p w:rsidR="005947A9" w:rsidRDefault="005947A9">
      <w:pPr>
        <w:ind w:firstLineChars="200" w:firstLine="400"/>
        <w:rPr>
          <w:rFonts w:ascii="微软雅黑" w:eastAsia="微软雅黑" w:hAnsi="微软雅黑" w:cs="宋体"/>
          <w:sz w:val="20"/>
          <w:vertAlign w:val="superscript"/>
        </w:rPr>
      </w:pPr>
    </w:p>
    <w:p w:rsidR="005947A9" w:rsidRDefault="005947A9">
      <w:pPr>
        <w:ind w:firstLineChars="200" w:firstLine="400"/>
        <w:rPr>
          <w:rFonts w:ascii="微软雅黑" w:eastAsia="微软雅黑" w:hAnsi="微软雅黑" w:cs="宋体"/>
          <w:sz w:val="20"/>
          <w:vertAlign w:val="superscript"/>
        </w:rPr>
      </w:pPr>
    </w:p>
    <w:p w:rsidR="005947A9" w:rsidRDefault="005947A9">
      <w:pPr>
        <w:ind w:firstLineChars="200" w:firstLine="400"/>
        <w:rPr>
          <w:rFonts w:ascii="微软雅黑" w:eastAsia="微软雅黑" w:hAnsi="微软雅黑" w:cs="宋体"/>
          <w:sz w:val="20"/>
          <w:vertAlign w:val="superscript"/>
        </w:rPr>
      </w:pPr>
    </w:p>
    <w:p w:rsidR="005947A9" w:rsidRDefault="005947A9">
      <w:pPr>
        <w:ind w:firstLineChars="200" w:firstLine="400"/>
        <w:rPr>
          <w:rFonts w:ascii="微软雅黑" w:eastAsia="微软雅黑" w:hAnsi="微软雅黑" w:cs="宋体"/>
          <w:sz w:val="20"/>
          <w:vertAlign w:val="superscript"/>
        </w:rPr>
      </w:pPr>
    </w:p>
    <w:p w:rsidR="005947A9" w:rsidRDefault="005947A9">
      <w:pPr>
        <w:ind w:firstLineChars="200" w:firstLine="400"/>
        <w:rPr>
          <w:rFonts w:ascii="微软雅黑" w:eastAsia="微软雅黑" w:hAnsi="微软雅黑" w:cs="宋体"/>
          <w:sz w:val="20"/>
          <w:vertAlign w:val="superscript"/>
        </w:rPr>
      </w:pPr>
    </w:p>
    <w:p w:rsidR="005947A9" w:rsidRDefault="005947A9">
      <w:pPr>
        <w:ind w:firstLineChars="200" w:firstLine="400"/>
        <w:rPr>
          <w:rFonts w:ascii="微软雅黑" w:eastAsia="微软雅黑" w:hAnsi="微软雅黑" w:cs="宋体"/>
          <w:sz w:val="20"/>
          <w:vertAlign w:val="superscript"/>
        </w:rPr>
      </w:pPr>
    </w:p>
    <w:p w:rsidR="005947A9" w:rsidRPr="002600DE" w:rsidRDefault="005947A9">
      <w:pPr>
        <w:ind w:firstLineChars="200" w:firstLine="400"/>
        <w:rPr>
          <w:rFonts w:ascii="微软雅黑" w:eastAsia="微软雅黑" w:hAnsi="微软雅黑" w:cs="宋体"/>
          <w:sz w:val="20"/>
          <w:vertAlign w:val="superscript"/>
        </w:rPr>
      </w:pPr>
    </w:p>
    <w:p w:rsidR="007A5BD9" w:rsidRPr="002600DE" w:rsidRDefault="006F57AF" w:rsidP="00F319EB">
      <w:pPr>
        <w:pStyle w:val="a3"/>
        <w:spacing w:line="276" w:lineRule="auto"/>
        <w:jc w:val="left"/>
        <w:rPr>
          <w:rFonts w:ascii="黑体" w:eastAsia="黑体" w:hAnsi="黑体" w:cs="Times New Roman"/>
          <w:b w:val="0"/>
          <w:kern w:val="0"/>
          <w:szCs w:val="24"/>
        </w:rPr>
      </w:pPr>
      <w:r w:rsidRPr="002600DE">
        <w:rPr>
          <w:rFonts w:ascii="黑体" w:eastAsia="黑体" w:hAnsi="黑体" w:cs="Times New Roman" w:hint="eastAsia"/>
          <w:b w:val="0"/>
          <w:kern w:val="0"/>
          <w:szCs w:val="24"/>
        </w:rPr>
        <w:lastRenderedPageBreak/>
        <w:t>表2</w:t>
      </w:r>
      <w:r w:rsidRPr="002600DE">
        <w:rPr>
          <w:rFonts w:ascii="黑体" w:eastAsia="黑体" w:hAnsi="黑体" w:cs="Times New Roman"/>
          <w:b w:val="0"/>
          <w:kern w:val="0"/>
          <w:szCs w:val="24"/>
        </w:rPr>
        <w:t xml:space="preserve">  </w:t>
      </w:r>
      <w:r w:rsidRPr="00890F61">
        <w:rPr>
          <w:rFonts w:ascii="Times New Roman" w:eastAsia="黑体" w:hAnsi="Times New Roman" w:cs="Times New Roman"/>
          <w:b w:val="0"/>
          <w:kern w:val="0"/>
          <w:szCs w:val="24"/>
        </w:rPr>
        <w:t>SRMD</w:t>
      </w:r>
      <w:r w:rsidRPr="002600DE">
        <w:rPr>
          <w:rFonts w:ascii="黑体" w:eastAsia="黑体" w:hAnsi="黑体" w:cs="Times New Roman" w:hint="eastAsia"/>
          <w:b w:val="0"/>
          <w:kern w:val="0"/>
          <w:szCs w:val="24"/>
        </w:rPr>
        <w:t>的危险因素</w:t>
      </w:r>
    </w:p>
    <w:tbl>
      <w:tblPr>
        <w:tblStyle w:val="PlainTable21"/>
        <w:tblW w:w="9180" w:type="dxa"/>
        <w:tblBorders>
          <w:top w:val="single" w:sz="4" w:space="0" w:color="auto"/>
          <w:bottom w:val="single" w:sz="4" w:space="0" w:color="auto"/>
        </w:tblBorders>
        <w:tblLayout w:type="fixed"/>
        <w:tblLook w:val="04A0" w:firstRow="1" w:lastRow="0" w:firstColumn="1" w:lastColumn="0" w:noHBand="0" w:noVBand="1"/>
      </w:tblPr>
      <w:tblGrid>
        <w:gridCol w:w="4361"/>
        <w:gridCol w:w="1843"/>
        <w:gridCol w:w="2976"/>
      </w:tblGrid>
      <w:tr w:rsidR="007A5BD9" w:rsidTr="00F319E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bottom w:val="single" w:sz="4" w:space="0" w:color="auto"/>
            </w:tcBorders>
          </w:tcPr>
          <w:p w:rsidR="007A5BD9" w:rsidRPr="00890F61" w:rsidRDefault="006F57AF">
            <w:pPr>
              <w:spacing w:after="0" w:line="240" w:lineRule="auto"/>
              <w:jc w:val="center"/>
              <w:rPr>
                <w:rFonts w:ascii="宋体" w:eastAsia="宋体" w:hAnsi="宋体"/>
                <w:bCs w:val="0"/>
                <w:sz w:val="24"/>
              </w:rPr>
            </w:pPr>
            <w:r w:rsidRPr="00890F61">
              <w:rPr>
                <w:rFonts w:ascii="宋体" w:eastAsia="宋体" w:hAnsi="宋体"/>
                <w:sz w:val="24"/>
              </w:rPr>
              <w:t>危险因素</w:t>
            </w:r>
          </w:p>
        </w:tc>
        <w:tc>
          <w:tcPr>
            <w:tcW w:w="1843" w:type="dxa"/>
            <w:tcBorders>
              <w:top w:val="single" w:sz="4" w:space="0" w:color="auto"/>
              <w:bottom w:val="single" w:sz="4" w:space="0" w:color="auto"/>
            </w:tcBorders>
          </w:tcPr>
          <w:p w:rsidR="007A5BD9" w:rsidRPr="00890F61" w:rsidRDefault="006F57A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宋体" w:eastAsia="宋体" w:hAnsi="宋体"/>
                <w:bCs w:val="0"/>
                <w:sz w:val="24"/>
              </w:rPr>
            </w:pPr>
            <w:r w:rsidRPr="00890F61">
              <w:rPr>
                <w:rFonts w:ascii="宋体" w:eastAsia="宋体" w:hAnsi="宋体" w:hint="eastAsia"/>
                <w:sz w:val="24"/>
              </w:rPr>
              <w:t>证据级别</w:t>
            </w:r>
          </w:p>
        </w:tc>
        <w:tc>
          <w:tcPr>
            <w:tcW w:w="2976" w:type="dxa"/>
            <w:tcBorders>
              <w:top w:val="single" w:sz="4" w:space="0" w:color="auto"/>
              <w:bottom w:val="single" w:sz="4" w:space="0" w:color="auto"/>
            </w:tcBorders>
          </w:tcPr>
          <w:p w:rsidR="007A5BD9" w:rsidRPr="00890F61" w:rsidRDefault="006F57A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宋体" w:eastAsia="宋体" w:hAnsi="宋体"/>
                <w:bCs w:val="0"/>
                <w:sz w:val="24"/>
              </w:rPr>
            </w:pPr>
            <w:r w:rsidRPr="00890F61">
              <w:rPr>
                <w:rFonts w:ascii="宋体" w:eastAsia="宋体" w:hAnsi="宋体" w:hint="eastAsia"/>
                <w:sz w:val="24"/>
              </w:rPr>
              <w:t>预防建议</w:t>
            </w:r>
          </w:p>
        </w:tc>
      </w:tr>
      <w:tr w:rsidR="007A5BD9" w:rsidTr="00F319EB">
        <w:trPr>
          <w:trHeight w:val="125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bottom w:val="dashed" w:sz="4" w:space="0" w:color="auto"/>
            </w:tcBorders>
          </w:tcPr>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呼吸衰竭，机械通气超过</w:t>
            </w:r>
            <w:r w:rsidRPr="00890F61">
              <w:rPr>
                <w:rFonts w:ascii="Times New Roman" w:eastAsia="宋体" w:hAnsi="Times New Roman" w:cs="Times New Roman"/>
                <w:b w:val="0"/>
                <w:sz w:val="24"/>
                <w:szCs w:val="24"/>
              </w:rPr>
              <w:t>48 h</w:t>
            </w:r>
          </w:p>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凝血机制障碍：国际标准化比值（</w:t>
            </w:r>
            <w:r w:rsidRPr="00890F61">
              <w:rPr>
                <w:rFonts w:ascii="Times New Roman" w:eastAsia="宋体" w:hAnsi="Times New Roman" w:cs="Times New Roman"/>
                <w:b w:val="0"/>
                <w:sz w:val="24"/>
                <w:szCs w:val="24"/>
              </w:rPr>
              <w:t>INR</w:t>
            </w: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1.5</w:t>
            </w:r>
            <w:r w:rsidRPr="00890F61">
              <w:rPr>
                <w:rFonts w:ascii="Times New Roman" w:eastAsia="宋体" w:hAnsi="Times New Roman" w:cs="Times New Roman"/>
                <w:b w:val="0"/>
                <w:sz w:val="24"/>
                <w:szCs w:val="24"/>
              </w:rPr>
              <w:t>，血小板＜</w:t>
            </w:r>
            <w:r w:rsidRPr="00890F61">
              <w:rPr>
                <w:rFonts w:ascii="Times New Roman" w:eastAsia="宋体" w:hAnsi="Times New Roman" w:cs="Times New Roman"/>
                <w:b w:val="0"/>
                <w:sz w:val="24"/>
                <w:szCs w:val="24"/>
              </w:rPr>
              <w:t>50×</w:t>
            </w:r>
            <w:r w:rsidRPr="00890F61">
              <w:rPr>
                <w:rFonts w:ascii="Times New Roman" w:eastAsia="宋体" w:hAnsi="Times New Roman" w:cs="Times New Roman"/>
                <w:b w:val="0"/>
                <w:color w:val="333333"/>
                <w:sz w:val="24"/>
                <w:szCs w:val="24"/>
                <w:shd w:val="clear" w:color="auto" w:fill="FFFFFF"/>
              </w:rPr>
              <w:t>10</w:t>
            </w:r>
            <w:r w:rsidRPr="00890F61">
              <w:rPr>
                <w:rFonts w:ascii="Times New Roman" w:eastAsia="宋体" w:hAnsi="Times New Roman" w:cs="Times New Roman"/>
                <w:b w:val="0"/>
                <w:color w:val="333333"/>
                <w:sz w:val="24"/>
                <w:szCs w:val="24"/>
                <w:shd w:val="clear" w:color="auto" w:fill="FFFFFF"/>
                <w:vertAlign w:val="superscript"/>
              </w:rPr>
              <w:t>9</w:t>
            </w:r>
            <w:r w:rsidRPr="00890F61">
              <w:rPr>
                <w:rFonts w:ascii="Times New Roman" w:eastAsia="宋体" w:hAnsi="Times New Roman" w:cs="Times New Roman"/>
                <w:b w:val="0"/>
                <w:sz w:val="24"/>
                <w:szCs w:val="24"/>
              </w:rPr>
              <w:t>/L</w:t>
            </w:r>
            <w:r w:rsidRPr="00890F61">
              <w:rPr>
                <w:rFonts w:ascii="Times New Roman" w:eastAsia="宋体" w:hAnsi="Times New Roman" w:cs="Times New Roman"/>
                <w:b w:val="0"/>
                <w:sz w:val="24"/>
                <w:szCs w:val="24"/>
              </w:rPr>
              <w:t>或部分凝血酶原时间（</w:t>
            </w:r>
            <w:r w:rsidRPr="00890F61">
              <w:rPr>
                <w:rFonts w:ascii="Times New Roman" w:eastAsia="宋体" w:hAnsi="Times New Roman" w:cs="Times New Roman"/>
                <w:b w:val="0"/>
                <w:sz w:val="24"/>
                <w:szCs w:val="24"/>
              </w:rPr>
              <w:t>PTT</w:t>
            </w:r>
            <w:r w:rsidRPr="00890F61">
              <w:rPr>
                <w:rFonts w:ascii="Times New Roman" w:eastAsia="宋体" w:hAnsi="Times New Roman" w:cs="Times New Roman"/>
                <w:b w:val="0"/>
                <w:sz w:val="24"/>
                <w:szCs w:val="24"/>
              </w:rPr>
              <w:t>）＞正常值</w:t>
            </w:r>
            <w:r w:rsidRPr="00890F61">
              <w:rPr>
                <w:rFonts w:ascii="Times New Roman" w:eastAsia="宋体" w:hAnsi="Times New Roman" w:cs="Times New Roman"/>
                <w:b w:val="0"/>
                <w:sz w:val="24"/>
                <w:szCs w:val="24"/>
              </w:rPr>
              <w:t>2</w:t>
            </w:r>
            <w:r w:rsidRPr="00890F61">
              <w:rPr>
                <w:rFonts w:ascii="Times New Roman" w:eastAsia="宋体" w:hAnsi="Times New Roman" w:cs="Times New Roman"/>
                <w:b w:val="0"/>
                <w:sz w:val="24"/>
                <w:szCs w:val="24"/>
              </w:rPr>
              <w:t>倍</w:t>
            </w:r>
          </w:p>
        </w:tc>
        <w:tc>
          <w:tcPr>
            <w:tcW w:w="1843" w:type="dxa"/>
            <w:tcBorders>
              <w:top w:val="single" w:sz="4" w:space="0" w:color="auto"/>
              <w:bottom w:val="dashed" w:sz="4" w:space="0" w:color="auto"/>
            </w:tcBorders>
          </w:tcPr>
          <w:p w:rsidR="007A5BD9" w:rsidRPr="00890F61" w:rsidRDefault="006F57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890F61">
              <w:rPr>
                <w:rFonts w:ascii="Times New Roman" w:eastAsia="宋体" w:hAnsi="Times New Roman" w:cs="Times New Roman"/>
                <w:sz w:val="24"/>
                <w:szCs w:val="24"/>
              </w:rPr>
              <w:t>A</w:t>
            </w:r>
          </w:p>
          <w:p w:rsidR="007A5BD9" w:rsidRPr="00890F61" w:rsidRDefault="007A5B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p>
          <w:p w:rsidR="007A5BD9" w:rsidRPr="00890F61" w:rsidRDefault="007A5B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p>
        </w:tc>
        <w:tc>
          <w:tcPr>
            <w:tcW w:w="2976" w:type="dxa"/>
            <w:tcBorders>
              <w:top w:val="single" w:sz="4" w:space="0" w:color="auto"/>
              <w:bottom w:val="dashed" w:sz="4" w:space="0" w:color="auto"/>
            </w:tcBorders>
          </w:tcPr>
          <w:p w:rsidR="007A5BD9" w:rsidRPr="00890F61" w:rsidRDefault="006F57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890F61">
              <w:rPr>
                <w:rFonts w:ascii="Times New Roman" w:eastAsia="宋体" w:hAnsi="Times New Roman" w:cs="Times New Roman"/>
                <w:sz w:val="24"/>
                <w:szCs w:val="24"/>
              </w:rPr>
              <w:t>独立危险因素</w:t>
            </w:r>
          </w:p>
          <w:p w:rsidR="007A5BD9" w:rsidRPr="00890F61" w:rsidRDefault="006F57AF" w:rsidP="00F319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890F61">
              <w:rPr>
                <w:rFonts w:ascii="Times New Roman" w:eastAsia="宋体" w:hAnsi="Times New Roman" w:cs="Times New Roman"/>
                <w:sz w:val="24"/>
                <w:szCs w:val="24"/>
              </w:rPr>
              <w:t>（具有</w:t>
            </w:r>
            <w:r w:rsidR="00F319EB">
              <w:rPr>
                <w:rFonts w:ascii="Times New Roman" w:eastAsia="宋体" w:hAnsi="Times New Roman" w:cs="Times New Roman" w:hint="eastAsia"/>
                <w:sz w:val="24"/>
                <w:szCs w:val="24"/>
              </w:rPr>
              <w:t>1</w:t>
            </w:r>
            <w:r w:rsidRPr="00890F61">
              <w:rPr>
                <w:rFonts w:ascii="Times New Roman" w:eastAsia="宋体" w:hAnsi="Times New Roman" w:cs="Times New Roman"/>
                <w:sz w:val="24"/>
                <w:szCs w:val="24"/>
              </w:rPr>
              <w:t>项即可使用常规剂量</w:t>
            </w:r>
            <w:r w:rsidRPr="00890F61">
              <w:rPr>
                <w:rFonts w:ascii="Times New Roman" w:eastAsia="宋体" w:hAnsi="Times New Roman" w:cs="Times New Roman"/>
                <w:sz w:val="24"/>
                <w:szCs w:val="24"/>
              </w:rPr>
              <w:t>PPI</w:t>
            </w:r>
            <w:r w:rsidRPr="00890F61">
              <w:rPr>
                <w:rFonts w:ascii="Times New Roman" w:eastAsia="宋体" w:hAnsi="Times New Roman" w:cs="Times New Roman"/>
                <w:sz w:val="24"/>
                <w:szCs w:val="24"/>
              </w:rPr>
              <w:t>预防</w:t>
            </w:r>
            <w:r w:rsidRPr="00890F61">
              <w:rPr>
                <w:rFonts w:ascii="Times New Roman" w:eastAsia="宋体" w:hAnsi="Times New Roman" w:cs="Times New Roman"/>
                <w:sz w:val="24"/>
                <w:szCs w:val="24"/>
              </w:rPr>
              <w:t>SRMD</w:t>
            </w:r>
            <w:r w:rsidRPr="00890F61">
              <w:rPr>
                <w:rFonts w:ascii="Times New Roman" w:eastAsia="宋体" w:hAnsi="Times New Roman" w:cs="Times New Roman"/>
                <w:sz w:val="24"/>
                <w:szCs w:val="24"/>
              </w:rPr>
              <w:t>）</w:t>
            </w:r>
          </w:p>
        </w:tc>
      </w:tr>
      <w:tr w:rsidR="007A5BD9" w:rsidTr="00F319EB">
        <w:trPr>
          <w:trHeight w:val="3680"/>
        </w:trPr>
        <w:tc>
          <w:tcPr>
            <w:cnfStyle w:val="001000000000" w:firstRow="0" w:lastRow="0" w:firstColumn="1" w:lastColumn="0" w:oddVBand="0" w:evenVBand="0" w:oddHBand="0" w:evenHBand="0" w:firstRowFirstColumn="0" w:firstRowLastColumn="0" w:lastRowFirstColumn="0" w:lastRowLastColumn="0"/>
            <w:tcW w:w="4361" w:type="dxa"/>
            <w:tcBorders>
              <w:top w:val="dashed" w:sz="4" w:space="0" w:color="auto"/>
              <w:bottom w:val="dashed" w:sz="4" w:space="0" w:color="auto"/>
            </w:tcBorders>
          </w:tcPr>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严重颅脑、颈脊髓损伤（</w:t>
            </w:r>
            <w:r w:rsidRPr="00890F61">
              <w:rPr>
                <w:rFonts w:ascii="Times New Roman" w:eastAsia="宋体" w:hAnsi="Times New Roman" w:cs="Times New Roman"/>
                <w:b w:val="0"/>
                <w:sz w:val="24"/>
                <w:szCs w:val="24"/>
              </w:rPr>
              <w:t>Glasgow</w:t>
            </w:r>
            <w:r w:rsidRPr="00890F61">
              <w:rPr>
                <w:rFonts w:ascii="Times New Roman" w:eastAsia="宋体" w:hAnsi="Times New Roman" w:cs="Times New Roman"/>
                <w:b w:val="0"/>
                <w:sz w:val="24"/>
                <w:szCs w:val="24"/>
              </w:rPr>
              <w:t>昏迷指数</w:t>
            </w:r>
            <w:r w:rsidRPr="00890F61">
              <w:rPr>
                <w:rFonts w:ascii="Times New Roman" w:eastAsia="宋体" w:hAnsi="Times New Roman" w:cs="Times New Roman"/>
                <w:b w:val="0"/>
                <w:sz w:val="24"/>
                <w:szCs w:val="24"/>
              </w:rPr>
              <w:t>≤10</w:t>
            </w:r>
            <w:r w:rsidRPr="00890F61">
              <w:rPr>
                <w:rFonts w:ascii="Times New Roman" w:eastAsia="宋体" w:hAnsi="Times New Roman" w:cs="Times New Roman"/>
                <w:b w:val="0"/>
                <w:sz w:val="24"/>
                <w:szCs w:val="24"/>
              </w:rPr>
              <w:t>）</w:t>
            </w:r>
          </w:p>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严重烧伤（烧伤面积＞</w:t>
            </w:r>
            <w:r w:rsidRPr="00890F61">
              <w:rPr>
                <w:rFonts w:ascii="Times New Roman" w:eastAsia="宋体" w:hAnsi="Times New Roman" w:cs="Times New Roman"/>
                <w:b w:val="0"/>
                <w:sz w:val="24"/>
                <w:szCs w:val="24"/>
              </w:rPr>
              <w:t>30%</w:t>
            </w:r>
            <w:r w:rsidRPr="00890F61">
              <w:rPr>
                <w:rFonts w:ascii="Times New Roman" w:eastAsia="宋体" w:hAnsi="Times New Roman" w:cs="Times New Roman"/>
                <w:b w:val="0"/>
                <w:sz w:val="24"/>
                <w:szCs w:val="24"/>
              </w:rPr>
              <w:t>）</w:t>
            </w:r>
          </w:p>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严重创伤、多发伤</w:t>
            </w: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创伤程度评分＞</w:t>
            </w:r>
            <w:r w:rsidRPr="00890F61">
              <w:rPr>
                <w:rFonts w:ascii="Times New Roman" w:eastAsia="宋体" w:hAnsi="Times New Roman" w:cs="Times New Roman"/>
                <w:b w:val="0"/>
                <w:sz w:val="24"/>
                <w:szCs w:val="24"/>
              </w:rPr>
              <w:t>16)</w:t>
            </w:r>
          </w:p>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急性肾功能衰竭或急性肝功能衰竭</w:t>
            </w:r>
          </w:p>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多器官功能不全或衰竭</w:t>
            </w:r>
          </w:p>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休克或持续低血压</w:t>
            </w:r>
          </w:p>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急性呼吸窘迫综合征（</w:t>
            </w:r>
            <w:r w:rsidRPr="00890F61">
              <w:rPr>
                <w:rFonts w:ascii="Times New Roman" w:eastAsia="宋体" w:hAnsi="Times New Roman" w:cs="Times New Roman"/>
                <w:b w:val="0"/>
                <w:sz w:val="24"/>
                <w:szCs w:val="24"/>
              </w:rPr>
              <w:t>ARDS</w:t>
            </w:r>
            <w:r w:rsidRPr="00890F61">
              <w:rPr>
                <w:rFonts w:ascii="Times New Roman" w:eastAsia="宋体" w:hAnsi="Times New Roman" w:cs="Times New Roman"/>
                <w:b w:val="0"/>
                <w:sz w:val="24"/>
                <w:szCs w:val="24"/>
              </w:rPr>
              <w:t>）</w:t>
            </w:r>
          </w:p>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全身感染、脓毒症、败血症</w:t>
            </w:r>
          </w:p>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心脑血管意外（</w:t>
            </w:r>
            <w:r w:rsidRPr="00890F61">
              <w:rPr>
                <w:rFonts w:ascii="Times New Roman" w:eastAsia="宋体" w:hAnsi="Times New Roman" w:cs="Times New Roman"/>
                <w:b w:val="0"/>
                <w:sz w:val="24"/>
                <w:szCs w:val="24"/>
              </w:rPr>
              <w:t>Glasgow</w:t>
            </w:r>
            <w:r w:rsidRPr="00890F61">
              <w:rPr>
                <w:rFonts w:ascii="Times New Roman" w:eastAsia="宋体" w:hAnsi="Times New Roman" w:cs="Times New Roman"/>
                <w:b w:val="0"/>
                <w:sz w:val="24"/>
                <w:szCs w:val="24"/>
              </w:rPr>
              <w:t>昏迷指数</w:t>
            </w:r>
            <w:r w:rsidR="00F319EB" w:rsidRPr="002600DE">
              <w:rPr>
                <w:rFonts w:ascii="宋体" w:eastAsia="宋体" w:hAnsi="宋体"/>
                <w:b w:val="0"/>
                <w:sz w:val="24"/>
                <w:szCs w:val="24"/>
              </w:rPr>
              <w:t>≤</w:t>
            </w:r>
            <w:r w:rsidRPr="00890F61">
              <w:rPr>
                <w:rFonts w:ascii="Times New Roman" w:eastAsia="宋体" w:hAnsi="Times New Roman" w:cs="Times New Roman"/>
                <w:b w:val="0"/>
                <w:sz w:val="24"/>
                <w:szCs w:val="24"/>
              </w:rPr>
              <w:t>10</w:t>
            </w:r>
            <w:r w:rsidRPr="00890F61">
              <w:rPr>
                <w:rFonts w:ascii="Times New Roman" w:eastAsia="宋体" w:hAnsi="Times New Roman" w:cs="Times New Roman"/>
                <w:b w:val="0"/>
                <w:sz w:val="24"/>
                <w:szCs w:val="24"/>
              </w:rPr>
              <w:t>）</w:t>
            </w:r>
          </w:p>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颅内感染（</w:t>
            </w:r>
            <w:r w:rsidRPr="00890F61">
              <w:rPr>
                <w:rFonts w:ascii="Times New Roman" w:eastAsia="宋体" w:hAnsi="Times New Roman" w:cs="Times New Roman"/>
                <w:b w:val="0"/>
                <w:sz w:val="24"/>
                <w:szCs w:val="24"/>
              </w:rPr>
              <w:t>Glasgow</w:t>
            </w:r>
            <w:r w:rsidRPr="00890F61">
              <w:rPr>
                <w:rFonts w:ascii="Times New Roman" w:eastAsia="宋体" w:hAnsi="Times New Roman" w:cs="Times New Roman"/>
                <w:b w:val="0"/>
                <w:sz w:val="24"/>
                <w:szCs w:val="24"/>
              </w:rPr>
              <w:t>昏迷指数</w:t>
            </w:r>
            <w:r w:rsidR="00F319EB" w:rsidRPr="002600DE">
              <w:rPr>
                <w:rFonts w:ascii="宋体" w:eastAsia="宋体" w:hAnsi="宋体"/>
                <w:b w:val="0"/>
                <w:sz w:val="24"/>
                <w:szCs w:val="24"/>
              </w:rPr>
              <w:t>≤</w:t>
            </w:r>
            <w:r w:rsidRPr="00890F61">
              <w:rPr>
                <w:rFonts w:ascii="Times New Roman" w:eastAsia="宋体" w:hAnsi="Times New Roman" w:cs="Times New Roman"/>
                <w:b w:val="0"/>
                <w:sz w:val="24"/>
                <w:szCs w:val="24"/>
              </w:rPr>
              <w:t>10</w:t>
            </w:r>
            <w:r w:rsidRPr="00890F61">
              <w:rPr>
                <w:rFonts w:ascii="Times New Roman" w:eastAsia="宋体" w:hAnsi="Times New Roman" w:cs="Times New Roman"/>
                <w:b w:val="0"/>
                <w:sz w:val="24"/>
                <w:szCs w:val="24"/>
              </w:rPr>
              <w:t>）</w:t>
            </w:r>
          </w:p>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严重心理应激，如精神创伤、过度紧张等</w:t>
            </w:r>
          </w:p>
        </w:tc>
        <w:tc>
          <w:tcPr>
            <w:tcW w:w="1843" w:type="dxa"/>
            <w:tcBorders>
              <w:top w:val="dashed" w:sz="4" w:space="0" w:color="auto"/>
              <w:bottom w:val="dashed" w:sz="4" w:space="0" w:color="auto"/>
            </w:tcBorders>
          </w:tcPr>
          <w:p w:rsidR="007A5BD9" w:rsidRPr="00890F61" w:rsidRDefault="006F57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890F61">
              <w:rPr>
                <w:rFonts w:ascii="Times New Roman" w:eastAsia="宋体" w:hAnsi="Times New Roman" w:cs="Times New Roman"/>
                <w:sz w:val="24"/>
                <w:szCs w:val="24"/>
              </w:rPr>
              <w:t>B</w:t>
            </w:r>
          </w:p>
          <w:p w:rsidR="007A5BD9" w:rsidRPr="00890F61" w:rsidRDefault="007A5B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p>
          <w:p w:rsidR="007A5BD9" w:rsidRPr="00890F61" w:rsidRDefault="007A5B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p>
        </w:tc>
        <w:tc>
          <w:tcPr>
            <w:tcW w:w="2976" w:type="dxa"/>
            <w:tcBorders>
              <w:top w:val="dashed" w:sz="4" w:space="0" w:color="auto"/>
              <w:bottom w:val="dashed" w:sz="4" w:space="0" w:color="auto"/>
            </w:tcBorders>
          </w:tcPr>
          <w:p w:rsidR="007A5BD9" w:rsidRPr="00890F61" w:rsidRDefault="006F57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890F61">
              <w:rPr>
                <w:rFonts w:ascii="Times New Roman" w:eastAsia="宋体" w:hAnsi="Times New Roman" w:cs="Times New Roman"/>
                <w:sz w:val="24"/>
                <w:szCs w:val="24"/>
              </w:rPr>
              <w:t>严重危险因素</w:t>
            </w:r>
          </w:p>
          <w:p w:rsidR="007A5BD9" w:rsidRPr="00890F61" w:rsidRDefault="006F57AF" w:rsidP="00F319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890F61">
              <w:rPr>
                <w:rFonts w:ascii="Times New Roman" w:eastAsia="宋体" w:hAnsi="Times New Roman" w:cs="Times New Roman"/>
                <w:sz w:val="24"/>
                <w:szCs w:val="24"/>
              </w:rPr>
              <w:t>（具有</w:t>
            </w:r>
            <w:r w:rsidR="00F319EB">
              <w:rPr>
                <w:rFonts w:ascii="Times New Roman" w:eastAsia="宋体" w:hAnsi="Times New Roman" w:cs="Times New Roman" w:hint="eastAsia"/>
                <w:sz w:val="24"/>
                <w:szCs w:val="24"/>
              </w:rPr>
              <w:t>1</w:t>
            </w:r>
            <w:r w:rsidRPr="00890F61">
              <w:rPr>
                <w:rFonts w:ascii="Times New Roman" w:eastAsia="宋体" w:hAnsi="Times New Roman" w:cs="Times New Roman"/>
                <w:sz w:val="24"/>
                <w:szCs w:val="24"/>
              </w:rPr>
              <w:t>项即可使用常规剂量</w:t>
            </w:r>
            <w:r w:rsidRPr="00890F61">
              <w:rPr>
                <w:rFonts w:ascii="Times New Roman" w:eastAsia="宋体" w:hAnsi="Times New Roman" w:cs="Times New Roman"/>
                <w:sz w:val="24"/>
                <w:szCs w:val="24"/>
              </w:rPr>
              <w:t>PPI</w:t>
            </w:r>
            <w:r w:rsidRPr="00890F61">
              <w:rPr>
                <w:rFonts w:ascii="Times New Roman" w:eastAsia="宋体" w:hAnsi="Times New Roman" w:cs="Times New Roman"/>
                <w:sz w:val="24"/>
                <w:szCs w:val="24"/>
              </w:rPr>
              <w:t>预防</w:t>
            </w:r>
            <w:r w:rsidRPr="00890F61">
              <w:rPr>
                <w:rFonts w:ascii="Times New Roman" w:eastAsia="宋体" w:hAnsi="Times New Roman" w:cs="Times New Roman"/>
                <w:sz w:val="24"/>
                <w:szCs w:val="24"/>
              </w:rPr>
              <w:t>SRMD</w:t>
            </w:r>
            <w:r w:rsidRPr="00890F61">
              <w:rPr>
                <w:rFonts w:ascii="Times New Roman" w:eastAsia="宋体" w:hAnsi="Times New Roman" w:cs="Times New Roman"/>
                <w:sz w:val="24"/>
                <w:szCs w:val="24"/>
              </w:rPr>
              <w:t>）</w:t>
            </w:r>
          </w:p>
        </w:tc>
      </w:tr>
      <w:tr w:rsidR="007A5BD9" w:rsidTr="00F319EB">
        <w:trPr>
          <w:trHeight w:val="3653"/>
        </w:trPr>
        <w:tc>
          <w:tcPr>
            <w:cnfStyle w:val="001000000000" w:firstRow="0" w:lastRow="0" w:firstColumn="1" w:lastColumn="0" w:oddVBand="0" w:evenVBand="0" w:oddHBand="0" w:evenHBand="0" w:firstRowFirstColumn="0" w:firstRowLastColumn="0" w:lastRowFirstColumn="0" w:lastRowLastColumn="0"/>
            <w:tcW w:w="4361" w:type="dxa"/>
            <w:tcBorders>
              <w:top w:val="dashed" w:sz="4" w:space="0" w:color="auto"/>
              <w:bottom w:val="dashed" w:sz="4" w:space="0" w:color="auto"/>
            </w:tcBorders>
          </w:tcPr>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-ICU</w:t>
            </w:r>
            <w:r w:rsidRPr="00890F61">
              <w:rPr>
                <w:rFonts w:ascii="Times New Roman" w:eastAsia="宋体" w:hAnsi="Times New Roman" w:cs="Times New Roman"/>
                <w:b w:val="0"/>
                <w:sz w:val="24"/>
                <w:szCs w:val="24"/>
              </w:rPr>
              <w:t>住院时间＞</w:t>
            </w:r>
            <w:r w:rsidRPr="00890F61">
              <w:rPr>
                <w:rFonts w:ascii="Times New Roman" w:eastAsia="宋体" w:hAnsi="Times New Roman" w:cs="Times New Roman"/>
                <w:b w:val="0"/>
                <w:sz w:val="24"/>
                <w:szCs w:val="24"/>
              </w:rPr>
              <w:t>1</w:t>
            </w:r>
            <w:r w:rsidRPr="00890F61">
              <w:rPr>
                <w:rFonts w:ascii="Times New Roman" w:eastAsia="宋体" w:hAnsi="Times New Roman" w:cs="Times New Roman"/>
                <w:b w:val="0"/>
                <w:sz w:val="24"/>
                <w:szCs w:val="24"/>
              </w:rPr>
              <w:t>周</w:t>
            </w:r>
          </w:p>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粪便隐血持续时间＞</w:t>
            </w:r>
            <w:r w:rsidRPr="00890F61">
              <w:rPr>
                <w:rFonts w:ascii="Times New Roman" w:eastAsia="宋体" w:hAnsi="Times New Roman" w:cs="Times New Roman"/>
                <w:b w:val="0"/>
                <w:sz w:val="24"/>
                <w:szCs w:val="24"/>
              </w:rPr>
              <w:t>3</w:t>
            </w:r>
            <w:r w:rsidR="002600DE" w:rsidRPr="00890F61">
              <w:rPr>
                <w:rFonts w:ascii="Times New Roman" w:eastAsia="宋体" w:hAnsi="Times New Roman" w:cs="Times New Roman"/>
                <w:b w:val="0"/>
                <w:sz w:val="24"/>
                <w:szCs w:val="24"/>
              </w:rPr>
              <w:t xml:space="preserve"> </w:t>
            </w:r>
            <w:r w:rsidRPr="00890F61">
              <w:rPr>
                <w:rFonts w:ascii="Times New Roman" w:eastAsia="宋体" w:hAnsi="Times New Roman" w:cs="Times New Roman"/>
                <w:b w:val="0"/>
                <w:sz w:val="24"/>
                <w:szCs w:val="24"/>
              </w:rPr>
              <w:t>d</w:t>
            </w:r>
          </w:p>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大剂量使用糖皮质激素（剂量＞氢化可的松</w:t>
            </w:r>
            <w:r w:rsidRPr="00890F61">
              <w:rPr>
                <w:rFonts w:ascii="Times New Roman" w:eastAsia="宋体" w:hAnsi="Times New Roman" w:cs="Times New Roman"/>
                <w:b w:val="0"/>
                <w:sz w:val="24"/>
                <w:szCs w:val="24"/>
              </w:rPr>
              <w:t>250 mg</w:t>
            </w:r>
            <w:r w:rsidR="002600DE"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d</w:t>
            </w:r>
            <w:r w:rsidR="002600DE" w:rsidRPr="00890F61">
              <w:rPr>
                <w:rFonts w:ascii="Times New Roman" w:eastAsia="宋体" w:hAnsi="Times New Roman" w:cs="Times New Roman"/>
                <w:b w:val="0"/>
                <w:sz w:val="24"/>
                <w:szCs w:val="24"/>
                <w:vertAlign w:val="superscript"/>
              </w:rPr>
              <w:t>-1</w:t>
            </w:r>
            <w:r w:rsidRPr="00890F61">
              <w:rPr>
                <w:rFonts w:ascii="Times New Roman" w:eastAsia="宋体" w:hAnsi="Times New Roman" w:cs="Times New Roman"/>
                <w:b w:val="0"/>
                <w:sz w:val="24"/>
                <w:szCs w:val="24"/>
              </w:rPr>
              <w:t>或等效剂量的其它糖皮质激素）</w:t>
            </w:r>
          </w:p>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合并使用非</w:t>
            </w:r>
            <w:proofErr w:type="gramStart"/>
            <w:r w:rsidRPr="00890F61">
              <w:rPr>
                <w:rFonts w:ascii="Times New Roman" w:eastAsia="宋体" w:hAnsi="Times New Roman" w:cs="Times New Roman"/>
                <w:b w:val="0"/>
                <w:sz w:val="24"/>
                <w:szCs w:val="24"/>
              </w:rPr>
              <w:t>甾</w:t>
            </w:r>
            <w:proofErr w:type="gramEnd"/>
            <w:r w:rsidRPr="00890F61">
              <w:rPr>
                <w:rFonts w:ascii="Times New Roman" w:eastAsia="宋体" w:hAnsi="Times New Roman" w:cs="Times New Roman"/>
                <w:b w:val="0"/>
                <w:sz w:val="24"/>
                <w:szCs w:val="24"/>
              </w:rPr>
              <w:t>体类抗炎药（</w:t>
            </w:r>
            <w:r w:rsidRPr="00890F61">
              <w:rPr>
                <w:rFonts w:ascii="Times New Roman" w:eastAsia="宋体" w:hAnsi="Times New Roman" w:cs="Times New Roman"/>
                <w:b w:val="0"/>
                <w:sz w:val="24"/>
                <w:szCs w:val="24"/>
              </w:rPr>
              <w:t>NSAIDs</w:t>
            </w:r>
            <w:r w:rsidRPr="00890F61">
              <w:rPr>
                <w:rFonts w:ascii="Times New Roman" w:eastAsia="宋体" w:hAnsi="Times New Roman" w:cs="Times New Roman"/>
                <w:b w:val="0"/>
                <w:sz w:val="24"/>
                <w:szCs w:val="24"/>
              </w:rPr>
              <w:t>）</w:t>
            </w:r>
          </w:p>
          <w:p w:rsidR="007A5BD9" w:rsidRPr="00890F61" w:rsidRDefault="006F57AF">
            <w:pPr>
              <w:spacing w:after="0" w:line="240" w:lineRule="auto"/>
              <w:rPr>
                <w:rFonts w:ascii="Times New Roman" w:eastAsia="宋体" w:hAnsi="Times New Roman" w:cs="Times New Roman"/>
                <w:b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长期大剂量使用免疫抑制剂</w:t>
            </w:r>
          </w:p>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长期禁食</w:t>
            </w:r>
            <w:proofErr w:type="gramStart"/>
            <w:r w:rsidRPr="00890F61">
              <w:rPr>
                <w:rFonts w:ascii="Times New Roman" w:eastAsia="宋体" w:hAnsi="Times New Roman" w:cs="Times New Roman"/>
                <w:b w:val="0"/>
                <w:sz w:val="24"/>
                <w:szCs w:val="24"/>
              </w:rPr>
              <w:t>或行胃肠外营养</w:t>
            </w:r>
            <w:proofErr w:type="gramEnd"/>
          </w:p>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男性</w:t>
            </w:r>
          </w:p>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年龄</w:t>
            </w:r>
            <w:r w:rsidR="002600DE"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65</w:t>
            </w:r>
            <w:r w:rsidRPr="00890F61">
              <w:rPr>
                <w:rFonts w:ascii="Times New Roman" w:eastAsia="宋体" w:hAnsi="Times New Roman" w:cs="Times New Roman"/>
                <w:b w:val="0"/>
                <w:sz w:val="24"/>
                <w:szCs w:val="24"/>
              </w:rPr>
              <w:t>岁</w:t>
            </w:r>
          </w:p>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1</w:t>
            </w:r>
            <w:r w:rsidRPr="00890F61">
              <w:rPr>
                <w:rFonts w:ascii="Times New Roman" w:eastAsia="宋体" w:hAnsi="Times New Roman" w:cs="Times New Roman"/>
                <w:b w:val="0"/>
                <w:sz w:val="24"/>
                <w:szCs w:val="24"/>
              </w:rPr>
              <w:t>年内）有消化道出血病史</w:t>
            </w:r>
          </w:p>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1</w:t>
            </w:r>
            <w:r w:rsidRPr="00890F61">
              <w:rPr>
                <w:rFonts w:ascii="Times New Roman" w:eastAsia="宋体" w:hAnsi="Times New Roman" w:cs="Times New Roman"/>
                <w:b w:val="0"/>
                <w:sz w:val="24"/>
                <w:szCs w:val="24"/>
              </w:rPr>
              <w:t>年内）有消化性溃疡史</w:t>
            </w:r>
          </w:p>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使用抗凝剂</w:t>
            </w:r>
          </w:p>
        </w:tc>
        <w:tc>
          <w:tcPr>
            <w:tcW w:w="1843" w:type="dxa"/>
            <w:tcBorders>
              <w:top w:val="dashed" w:sz="4" w:space="0" w:color="auto"/>
              <w:bottom w:val="dashed" w:sz="4" w:space="0" w:color="auto"/>
            </w:tcBorders>
          </w:tcPr>
          <w:p w:rsidR="007A5BD9" w:rsidRPr="00890F61" w:rsidRDefault="006F57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890F61">
              <w:rPr>
                <w:rFonts w:ascii="Times New Roman" w:eastAsia="宋体" w:hAnsi="Times New Roman" w:cs="Times New Roman"/>
                <w:sz w:val="24"/>
                <w:szCs w:val="24"/>
              </w:rPr>
              <w:t>C</w:t>
            </w:r>
          </w:p>
          <w:p w:rsidR="007A5BD9" w:rsidRPr="00890F61" w:rsidRDefault="007A5B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p>
        </w:tc>
        <w:tc>
          <w:tcPr>
            <w:tcW w:w="2976" w:type="dxa"/>
            <w:tcBorders>
              <w:top w:val="dashed" w:sz="4" w:space="0" w:color="auto"/>
              <w:bottom w:val="dashed" w:sz="4" w:space="0" w:color="auto"/>
            </w:tcBorders>
          </w:tcPr>
          <w:p w:rsidR="007A5BD9" w:rsidRPr="00890F61" w:rsidRDefault="006F57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890F61">
              <w:rPr>
                <w:rFonts w:ascii="Times New Roman" w:eastAsia="宋体" w:hAnsi="Times New Roman" w:cs="Times New Roman"/>
                <w:sz w:val="24"/>
                <w:szCs w:val="24"/>
              </w:rPr>
              <w:t>潜在危险因素</w:t>
            </w:r>
          </w:p>
          <w:p w:rsidR="007A5BD9" w:rsidRPr="00890F61" w:rsidRDefault="006F57AF" w:rsidP="00F319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890F61">
              <w:rPr>
                <w:rFonts w:ascii="Times New Roman" w:eastAsia="宋体" w:hAnsi="Times New Roman" w:cs="Times New Roman"/>
                <w:sz w:val="24"/>
                <w:szCs w:val="24"/>
              </w:rPr>
              <w:t>（符合</w:t>
            </w:r>
            <w:r w:rsidR="00F319EB">
              <w:rPr>
                <w:rFonts w:ascii="Times New Roman" w:eastAsia="宋体" w:hAnsi="Times New Roman" w:cs="Times New Roman" w:hint="eastAsia"/>
                <w:sz w:val="24"/>
                <w:szCs w:val="24"/>
              </w:rPr>
              <w:t>2</w:t>
            </w:r>
            <w:r w:rsidRPr="00890F61">
              <w:rPr>
                <w:rFonts w:ascii="Times New Roman" w:eastAsia="宋体" w:hAnsi="Times New Roman" w:cs="Times New Roman"/>
                <w:sz w:val="24"/>
                <w:szCs w:val="24"/>
              </w:rPr>
              <w:t>项者可使用常规剂量</w:t>
            </w:r>
            <w:r w:rsidRPr="00890F61">
              <w:rPr>
                <w:rFonts w:ascii="Times New Roman" w:eastAsia="宋体" w:hAnsi="Times New Roman" w:cs="Times New Roman"/>
                <w:sz w:val="24"/>
                <w:szCs w:val="24"/>
              </w:rPr>
              <w:t>PPI</w:t>
            </w:r>
            <w:r w:rsidRPr="00890F61">
              <w:rPr>
                <w:rFonts w:ascii="Times New Roman" w:eastAsia="宋体" w:hAnsi="Times New Roman" w:cs="Times New Roman"/>
                <w:sz w:val="24"/>
                <w:szCs w:val="24"/>
              </w:rPr>
              <w:t>预防</w:t>
            </w:r>
            <w:r w:rsidRPr="00890F61">
              <w:rPr>
                <w:rFonts w:ascii="Times New Roman" w:eastAsia="宋体" w:hAnsi="Times New Roman" w:cs="Times New Roman"/>
                <w:sz w:val="24"/>
                <w:szCs w:val="24"/>
              </w:rPr>
              <w:t>SRMD</w:t>
            </w:r>
            <w:r w:rsidRPr="00890F61">
              <w:rPr>
                <w:rFonts w:ascii="Times New Roman" w:eastAsia="宋体" w:hAnsi="Times New Roman" w:cs="Times New Roman"/>
                <w:sz w:val="24"/>
                <w:szCs w:val="24"/>
              </w:rPr>
              <w:t>）</w:t>
            </w:r>
          </w:p>
        </w:tc>
      </w:tr>
      <w:tr w:rsidR="007A5BD9" w:rsidTr="00F319EB">
        <w:trPr>
          <w:trHeight w:val="647"/>
        </w:trPr>
        <w:tc>
          <w:tcPr>
            <w:cnfStyle w:val="001000000000" w:firstRow="0" w:lastRow="0" w:firstColumn="1" w:lastColumn="0" w:oddVBand="0" w:evenVBand="0" w:oddHBand="0" w:evenHBand="0" w:firstRowFirstColumn="0" w:firstRowLastColumn="0" w:lastRowFirstColumn="0" w:lastRowLastColumn="0"/>
            <w:tcW w:w="4361" w:type="dxa"/>
            <w:tcBorders>
              <w:top w:val="dashed" w:sz="4" w:space="0" w:color="auto"/>
            </w:tcBorders>
          </w:tcPr>
          <w:p w:rsidR="007A5BD9" w:rsidRPr="00890F61" w:rsidRDefault="00F319EB">
            <w:pPr>
              <w:spacing w:after="0" w:line="240" w:lineRule="auto"/>
              <w:rPr>
                <w:rFonts w:ascii="Times New Roman" w:eastAsia="宋体" w:hAnsi="Times New Roman" w:cs="Times New Roman"/>
                <w:bCs w:val="0"/>
                <w:sz w:val="24"/>
                <w:szCs w:val="24"/>
              </w:rPr>
            </w:pPr>
            <w:r>
              <w:rPr>
                <w:rFonts w:ascii="Times New Roman" w:eastAsia="宋体" w:hAnsi="Times New Roman" w:cs="Times New Roman"/>
                <w:b w:val="0"/>
                <w:sz w:val="24"/>
                <w:szCs w:val="24"/>
              </w:rPr>
              <w:t>复杂手术，如复杂肝脏手术、器官移植</w:t>
            </w:r>
          </w:p>
          <w:p w:rsidR="007A5BD9" w:rsidRPr="00890F61" w:rsidRDefault="006F57AF">
            <w:pPr>
              <w:spacing w:after="0" w:line="240" w:lineRule="auto"/>
              <w:rPr>
                <w:rFonts w:ascii="Times New Roman" w:eastAsia="宋体" w:hAnsi="Times New Roman" w:cs="Times New Roman"/>
                <w:bCs w:val="0"/>
                <w:sz w:val="24"/>
                <w:szCs w:val="24"/>
              </w:rPr>
            </w:pPr>
            <w:r w:rsidRPr="00890F61">
              <w:rPr>
                <w:rFonts w:ascii="Times New Roman" w:eastAsia="宋体" w:hAnsi="Times New Roman" w:cs="Times New Roman"/>
                <w:b w:val="0"/>
                <w:sz w:val="24"/>
                <w:szCs w:val="24"/>
              </w:rPr>
              <w:t>手术时间较长（</w:t>
            </w:r>
            <w:r w:rsidR="002600DE" w:rsidRPr="00890F61">
              <w:rPr>
                <w:rFonts w:ascii="Times New Roman" w:eastAsia="宋体" w:hAnsi="Times New Roman" w:cs="Times New Roman"/>
                <w:b w:val="0"/>
                <w:sz w:val="24"/>
                <w:szCs w:val="24"/>
              </w:rPr>
              <w:t>＞</w:t>
            </w:r>
            <w:r w:rsidRPr="00890F61">
              <w:rPr>
                <w:rFonts w:ascii="Times New Roman" w:eastAsia="宋体" w:hAnsi="Times New Roman" w:cs="Times New Roman"/>
                <w:b w:val="0"/>
                <w:sz w:val="24"/>
                <w:szCs w:val="24"/>
              </w:rPr>
              <w:t>3 h</w:t>
            </w:r>
            <w:r w:rsidRPr="00890F61">
              <w:rPr>
                <w:rFonts w:ascii="Times New Roman" w:eastAsia="宋体" w:hAnsi="Times New Roman" w:cs="Times New Roman"/>
                <w:b w:val="0"/>
                <w:sz w:val="24"/>
                <w:szCs w:val="24"/>
              </w:rPr>
              <w:t>）等</w:t>
            </w:r>
          </w:p>
        </w:tc>
        <w:tc>
          <w:tcPr>
            <w:tcW w:w="1843" w:type="dxa"/>
            <w:tcBorders>
              <w:top w:val="dashed" w:sz="4" w:space="0" w:color="auto"/>
            </w:tcBorders>
          </w:tcPr>
          <w:p w:rsidR="007A5BD9" w:rsidRPr="00890F61" w:rsidRDefault="006F57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890F61">
              <w:rPr>
                <w:rFonts w:ascii="Times New Roman" w:eastAsia="宋体" w:hAnsi="Times New Roman" w:cs="Times New Roman"/>
                <w:sz w:val="24"/>
                <w:szCs w:val="24"/>
              </w:rPr>
              <w:t>C</w:t>
            </w:r>
          </w:p>
        </w:tc>
        <w:tc>
          <w:tcPr>
            <w:tcW w:w="2976" w:type="dxa"/>
            <w:tcBorders>
              <w:top w:val="dashed" w:sz="4" w:space="0" w:color="auto"/>
            </w:tcBorders>
          </w:tcPr>
          <w:p w:rsidR="007A5BD9" w:rsidRPr="00890F61" w:rsidRDefault="006F57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890F61">
              <w:rPr>
                <w:rFonts w:ascii="Times New Roman" w:eastAsia="宋体" w:hAnsi="Times New Roman" w:cs="Times New Roman"/>
                <w:sz w:val="24"/>
                <w:szCs w:val="24"/>
              </w:rPr>
              <w:t>择期外科手术</w:t>
            </w:r>
          </w:p>
          <w:p w:rsidR="007A5BD9" w:rsidRPr="00890F61" w:rsidRDefault="006F57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890F61">
              <w:rPr>
                <w:rFonts w:ascii="Times New Roman" w:eastAsia="宋体" w:hAnsi="Times New Roman" w:cs="Times New Roman"/>
                <w:sz w:val="24"/>
                <w:szCs w:val="24"/>
              </w:rPr>
              <w:t>（结合疾病本身选择使用</w:t>
            </w:r>
            <w:r w:rsidRPr="00890F61">
              <w:rPr>
                <w:rFonts w:ascii="Times New Roman" w:eastAsia="宋体" w:hAnsi="Times New Roman" w:cs="Times New Roman"/>
                <w:sz w:val="24"/>
                <w:szCs w:val="24"/>
              </w:rPr>
              <w:t>PPI</w:t>
            </w:r>
            <w:r w:rsidRPr="00890F61">
              <w:rPr>
                <w:rFonts w:ascii="Times New Roman" w:eastAsia="宋体" w:hAnsi="Times New Roman" w:cs="Times New Roman"/>
                <w:sz w:val="24"/>
                <w:szCs w:val="24"/>
              </w:rPr>
              <w:t>预防</w:t>
            </w:r>
            <w:r w:rsidRPr="00890F61">
              <w:rPr>
                <w:rFonts w:ascii="Times New Roman" w:eastAsia="宋体" w:hAnsi="Times New Roman" w:cs="Times New Roman"/>
                <w:sz w:val="24"/>
                <w:szCs w:val="24"/>
              </w:rPr>
              <w:t>SRMD</w:t>
            </w:r>
            <w:r w:rsidRPr="00890F61">
              <w:rPr>
                <w:rFonts w:ascii="Times New Roman" w:eastAsia="宋体" w:hAnsi="Times New Roman" w:cs="Times New Roman"/>
                <w:sz w:val="24"/>
                <w:szCs w:val="24"/>
              </w:rPr>
              <w:t>）</w:t>
            </w:r>
          </w:p>
        </w:tc>
      </w:tr>
    </w:tbl>
    <w:p w:rsidR="007A5BD9" w:rsidRPr="007B0DEE" w:rsidRDefault="002600DE" w:rsidP="007D6A9D">
      <w:pPr>
        <w:spacing w:after="0"/>
        <w:rPr>
          <w:rFonts w:ascii="Times New Roman" w:eastAsia="宋体" w:hAnsi="Times New Roman" w:cs="Times New Roman"/>
          <w:sz w:val="21"/>
          <w:szCs w:val="16"/>
        </w:rPr>
      </w:pPr>
      <w:r w:rsidRPr="007B0DEE">
        <w:rPr>
          <w:rFonts w:ascii="Times New Roman" w:eastAsia="宋体" w:hAnsi="Times New Roman" w:cs="Times New Roman"/>
          <w:sz w:val="21"/>
          <w:szCs w:val="16"/>
        </w:rPr>
        <w:t>注：</w:t>
      </w:r>
      <w:r w:rsidR="006F57AF" w:rsidRPr="007B0DEE">
        <w:rPr>
          <w:rFonts w:ascii="Times New Roman" w:eastAsia="宋体" w:hAnsi="Times New Roman" w:cs="Times New Roman"/>
          <w:sz w:val="21"/>
          <w:szCs w:val="16"/>
        </w:rPr>
        <w:t>A</w:t>
      </w:r>
      <w:r w:rsidRPr="007B0DEE">
        <w:rPr>
          <w:rFonts w:ascii="Times New Roman" w:eastAsia="宋体" w:hAnsi="Times New Roman" w:cs="Times New Roman"/>
          <w:sz w:val="21"/>
          <w:szCs w:val="16"/>
        </w:rPr>
        <w:t>为</w:t>
      </w:r>
      <w:r w:rsidR="006F57AF" w:rsidRPr="007B0DEE">
        <w:rPr>
          <w:rFonts w:ascii="Times New Roman" w:eastAsia="宋体" w:hAnsi="Times New Roman" w:cs="Times New Roman"/>
          <w:sz w:val="21"/>
          <w:szCs w:val="16"/>
        </w:rPr>
        <w:t>多项随机对照试验或</w:t>
      </w:r>
      <w:r w:rsidR="007B0DEE" w:rsidRPr="007B0DEE">
        <w:rPr>
          <w:rFonts w:ascii="Times New Roman" w:eastAsia="宋体" w:hAnsi="Times New Roman" w:cs="Times New Roman"/>
          <w:sz w:val="21"/>
          <w:szCs w:val="16"/>
        </w:rPr>
        <w:t>M</w:t>
      </w:r>
      <w:r w:rsidR="006F57AF" w:rsidRPr="007B0DEE">
        <w:rPr>
          <w:rFonts w:ascii="Times New Roman" w:eastAsia="宋体" w:hAnsi="Times New Roman" w:cs="Times New Roman"/>
          <w:sz w:val="21"/>
          <w:szCs w:val="16"/>
        </w:rPr>
        <w:t>eta</w:t>
      </w:r>
      <w:r w:rsidR="006F57AF" w:rsidRPr="007B0DEE">
        <w:rPr>
          <w:rFonts w:ascii="Times New Roman" w:eastAsia="宋体" w:hAnsi="Times New Roman" w:cs="Times New Roman"/>
          <w:sz w:val="21"/>
          <w:szCs w:val="16"/>
        </w:rPr>
        <w:t>分析</w:t>
      </w:r>
      <w:r w:rsidRPr="007B0DEE">
        <w:rPr>
          <w:rFonts w:ascii="Times New Roman" w:eastAsia="宋体" w:hAnsi="Times New Roman" w:cs="Times New Roman"/>
          <w:sz w:val="21"/>
          <w:szCs w:val="16"/>
        </w:rPr>
        <w:t>；</w:t>
      </w:r>
      <w:r w:rsidR="006F57AF" w:rsidRPr="007B0DEE">
        <w:rPr>
          <w:rFonts w:ascii="Times New Roman" w:eastAsia="宋体" w:hAnsi="Times New Roman" w:cs="Times New Roman"/>
          <w:sz w:val="21"/>
          <w:szCs w:val="16"/>
        </w:rPr>
        <w:t>B</w:t>
      </w:r>
      <w:r w:rsidRPr="007B0DEE">
        <w:rPr>
          <w:rFonts w:ascii="Times New Roman" w:eastAsia="宋体" w:hAnsi="Times New Roman" w:cs="Times New Roman"/>
          <w:sz w:val="21"/>
          <w:szCs w:val="16"/>
        </w:rPr>
        <w:t>为</w:t>
      </w:r>
      <w:r w:rsidR="006F57AF" w:rsidRPr="007B0DEE">
        <w:rPr>
          <w:rFonts w:ascii="Times New Roman" w:eastAsia="宋体" w:hAnsi="Times New Roman" w:cs="Times New Roman"/>
          <w:sz w:val="21"/>
          <w:szCs w:val="16"/>
        </w:rPr>
        <w:t>单项随机对照试验或大型非随机对照试验</w:t>
      </w:r>
      <w:r w:rsidRPr="007B0DEE">
        <w:rPr>
          <w:rFonts w:ascii="Times New Roman" w:eastAsia="宋体" w:hAnsi="Times New Roman" w:cs="Times New Roman"/>
          <w:sz w:val="21"/>
          <w:szCs w:val="16"/>
        </w:rPr>
        <w:t>；</w:t>
      </w:r>
      <w:r w:rsidR="006F57AF" w:rsidRPr="007B0DEE">
        <w:rPr>
          <w:rFonts w:ascii="Times New Roman" w:eastAsia="宋体" w:hAnsi="Times New Roman" w:cs="Times New Roman"/>
          <w:sz w:val="21"/>
          <w:szCs w:val="16"/>
        </w:rPr>
        <w:t>C</w:t>
      </w:r>
      <w:r w:rsidRPr="007B0DEE">
        <w:rPr>
          <w:rFonts w:ascii="Times New Roman" w:eastAsia="宋体" w:hAnsi="Times New Roman" w:cs="Times New Roman"/>
          <w:sz w:val="21"/>
          <w:szCs w:val="16"/>
        </w:rPr>
        <w:t>为</w:t>
      </w:r>
      <w:r w:rsidR="006F57AF" w:rsidRPr="007B0DEE">
        <w:rPr>
          <w:rFonts w:ascii="Times New Roman" w:eastAsia="宋体" w:hAnsi="Times New Roman" w:cs="Times New Roman"/>
          <w:sz w:val="21"/>
          <w:szCs w:val="16"/>
        </w:rPr>
        <w:t>专家意见或回顾性研究</w:t>
      </w:r>
      <w:r w:rsidRPr="007B0DEE">
        <w:rPr>
          <w:rFonts w:ascii="Times New Roman" w:eastAsia="宋体" w:hAnsi="Times New Roman" w:cs="Times New Roman"/>
          <w:sz w:val="21"/>
          <w:szCs w:val="16"/>
        </w:rPr>
        <w:t>。</w:t>
      </w:r>
    </w:p>
    <w:p w:rsidR="005947A9" w:rsidRDefault="005947A9">
      <w:pPr>
        <w:rPr>
          <w:rFonts w:ascii="微软雅黑" w:eastAsia="微软雅黑" w:hAnsi="微软雅黑" w:cs="宋体"/>
          <w:color w:val="0070C0"/>
          <w:sz w:val="16"/>
          <w:szCs w:val="16"/>
        </w:rPr>
      </w:pPr>
    </w:p>
    <w:p w:rsidR="007A5BD9" w:rsidRDefault="007B0DEE" w:rsidP="009A72B1">
      <w:pPr>
        <w:rPr>
          <w:rFonts w:ascii="微软雅黑" w:eastAsia="微软雅黑" w:hAnsi="微软雅黑" w:cs="宋体"/>
          <w:b/>
        </w:rPr>
      </w:pPr>
      <w:r w:rsidRPr="009A72B1">
        <w:rPr>
          <w:rFonts w:ascii="黑体" w:eastAsia="黑体" w:hAnsi="黑体" w:cs="宋体" w:hint="eastAsia"/>
          <w:sz w:val="24"/>
        </w:rPr>
        <w:t>2.2</w:t>
      </w:r>
      <w:r w:rsidR="003573E7">
        <w:rPr>
          <w:rFonts w:ascii="黑体" w:eastAsia="黑体" w:hAnsi="黑体" w:cs="宋体" w:hint="eastAsia"/>
          <w:sz w:val="24"/>
        </w:rPr>
        <w:t xml:space="preserve">  </w:t>
      </w:r>
      <w:r w:rsidR="006F57AF" w:rsidRPr="007B0DEE">
        <w:rPr>
          <w:rFonts w:ascii="仿宋_GB2312" w:eastAsia="仿宋_GB2312" w:hAnsi="微软雅黑" w:cs="宋体" w:hint="eastAsia"/>
          <w:sz w:val="24"/>
          <w:szCs w:val="24"/>
        </w:rPr>
        <w:t>药物相关性胃肠消化道黏膜损害</w:t>
      </w:r>
    </w:p>
    <w:p w:rsidR="007A5BD9" w:rsidRPr="00890F61" w:rsidRDefault="007B0DEE" w:rsidP="00703EA2">
      <w:pPr>
        <w:spacing w:after="0" w:line="276" w:lineRule="auto"/>
        <w:jc w:val="both"/>
        <w:rPr>
          <w:rFonts w:ascii="Times New Roman" w:eastAsia="宋体" w:hAnsi="Times New Roman" w:cs="Times New Roman"/>
          <w:sz w:val="24"/>
          <w:szCs w:val="24"/>
        </w:rPr>
      </w:pPr>
      <w:r w:rsidRPr="009A72B1">
        <w:rPr>
          <w:rFonts w:ascii="黑体" w:eastAsia="黑体" w:hAnsi="黑体" w:cs="Times New Roman"/>
          <w:sz w:val="24"/>
        </w:rPr>
        <w:t>2.2.1</w:t>
      </w:r>
      <w:r w:rsidR="003573E7">
        <w:rPr>
          <w:rFonts w:ascii="黑体" w:eastAsia="黑体" w:hAnsi="黑体" w:cs="Times New Roman" w:hint="eastAsia"/>
          <w:sz w:val="24"/>
        </w:rPr>
        <w:t xml:space="preserve">  </w:t>
      </w:r>
      <w:r w:rsidR="006F57AF" w:rsidRPr="00890F61">
        <w:rPr>
          <w:rFonts w:ascii="Times New Roman" w:eastAsia="宋体" w:hAnsi="Times New Roman" w:cs="Times New Roman"/>
          <w:sz w:val="24"/>
          <w:szCs w:val="24"/>
        </w:rPr>
        <w:t>预防</w:t>
      </w:r>
      <w:r w:rsidR="006F57AF" w:rsidRPr="00890F61">
        <w:rPr>
          <w:rFonts w:ascii="Times New Roman" w:eastAsia="宋体" w:hAnsi="Times New Roman" w:cs="Times New Roman"/>
          <w:sz w:val="24"/>
          <w:szCs w:val="24"/>
        </w:rPr>
        <w:t>NSAIDs</w:t>
      </w:r>
      <w:r w:rsidR="006F57AF" w:rsidRPr="00890F61">
        <w:rPr>
          <w:rFonts w:ascii="Times New Roman" w:eastAsia="宋体" w:hAnsi="Times New Roman" w:cs="Times New Roman"/>
          <w:sz w:val="24"/>
          <w:szCs w:val="24"/>
        </w:rPr>
        <w:t>相关的消化道黏膜损伤</w:t>
      </w:r>
      <w:r w:rsidR="003573E7" w:rsidRPr="00890F61">
        <w:rPr>
          <w:rFonts w:ascii="Times New Roman" w:eastAsia="宋体" w:hAnsi="Times New Roman" w:cs="Times New Roman"/>
          <w:sz w:val="24"/>
          <w:szCs w:val="24"/>
        </w:rPr>
        <w:t xml:space="preserve">  </w:t>
      </w:r>
      <w:r w:rsidR="006F57AF" w:rsidRPr="00890F61">
        <w:rPr>
          <w:rFonts w:ascii="Times New Roman" w:eastAsia="宋体" w:hAnsi="Times New Roman" w:cs="Times New Roman"/>
          <w:sz w:val="24"/>
          <w:szCs w:val="21"/>
        </w:rPr>
        <w:t>非</w:t>
      </w:r>
      <w:proofErr w:type="gramStart"/>
      <w:r w:rsidR="006F57AF" w:rsidRPr="00890F61">
        <w:rPr>
          <w:rFonts w:ascii="Times New Roman" w:eastAsia="宋体" w:hAnsi="Times New Roman" w:cs="Times New Roman"/>
          <w:sz w:val="24"/>
          <w:szCs w:val="24"/>
        </w:rPr>
        <w:t>甾</w:t>
      </w:r>
      <w:proofErr w:type="gramEnd"/>
      <w:r w:rsidR="006F57AF" w:rsidRPr="00890F61">
        <w:rPr>
          <w:rFonts w:ascii="Times New Roman" w:eastAsia="宋体" w:hAnsi="Times New Roman" w:cs="Times New Roman"/>
          <w:sz w:val="24"/>
          <w:szCs w:val="24"/>
        </w:rPr>
        <w:t>体抗炎药（</w:t>
      </w:r>
      <w:r w:rsidR="006F57AF" w:rsidRPr="00890F61">
        <w:rPr>
          <w:rFonts w:ascii="Times New Roman" w:eastAsia="宋体" w:hAnsi="Times New Roman" w:cs="Times New Roman"/>
          <w:sz w:val="24"/>
          <w:szCs w:val="24"/>
        </w:rPr>
        <w:t>non steroid anti-inflammatory drugs</w:t>
      </w:r>
      <w:r w:rsidR="006F57AF" w:rsidRPr="00890F61">
        <w:rPr>
          <w:rFonts w:ascii="Times New Roman" w:eastAsia="宋体" w:hAnsi="Times New Roman" w:cs="Times New Roman"/>
          <w:sz w:val="24"/>
          <w:szCs w:val="24"/>
        </w:rPr>
        <w:t>，</w:t>
      </w:r>
      <w:r w:rsidR="006F57AF" w:rsidRPr="00890F61">
        <w:rPr>
          <w:rFonts w:ascii="Times New Roman" w:eastAsia="宋体" w:hAnsi="Times New Roman" w:cs="Times New Roman"/>
          <w:sz w:val="24"/>
          <w:szCs w:val="24"/>
        </w:rPr>
        <w:t>NSAIDs</w:t>
      </w:r>
      <w:r w:rsidR="006F57AF" w:rsidRPr="00890F61">
        <w:rPr>
          <w:rFonts w:ascii="Times New Roman" w:eastAsia="宋体" w:hAnsi="Times New Roman" w:cs="Times New Roman"/>
          <w:sz w:val="24"/>
          <w:szCs w:val="24"/>
        </w:rPr>
        <w:t>）是一大类具有抗炎、镇痛、解热作用的药物。消化道黏膜损伤是使用</w:t>
      </w:r>
      <w:r w:rsidR="006F57AF" w:rsidRPr="00890F61">
        <w:rPr>
          <w:rFonts w:ascii="Times New Roman" w:eastAsia="宋体" w:hAnsi="Times New Roman" w:cs="Times New Roman"/>
          <w:sz w:val="24"/>
          <w:szCs w:val="24"/>
        </w:rPr>
        <w:t>NSAIDs</w:t>
      </w:r>
      <w:r w:rsidR="006F57AF" w:rsidRPr="00890F61">
        <w:rPr>
          <w:rFonts w:ascii="Times New Roman" w:eastAsia="宋体" w:hAnsi="Times New Roman" w:cs="Times New Roman"/>
          <w:sz w:val="24"/>
          <w:szCs w:val="24"/>
        </w:rPr>
        <w:t>最常见的不良反应。在长期口服</w:t>
      </w:r>
      <w:r w:rsidR="006F57AF" w:rsidRPr="00890F61">
        <w:rPr>
          <w:rFonts w:ascii="Times New Roman" w:eastAsia="宋体" w:hAnsi="Times New Roman" w:cs="Times New Roman"/>
          <w:sz w:val="24"/>
          <w:szCs w:val="24"/>
        </w:rPr>
        <w:t>NSAIDs</w:t>
      </w:r>
      <w:r w:rsidR="006F57AF" w:rsidRPr="00890F61">
        <w:rPr>
          <w:rFonts w:ascii="Times New Roman" w:eastAsia="宋体" w:hAnsi="Times New Roman" w:cs="Times New Roman"/>
          <w:sz w:val="24"/>
          <w:szCs w:val="24"/>
        </w:rPr>
        <w:t>的患者中，约</w:t>
      </w:r>
      <w:r w:rsidR="006F57AF" w:rsidRPr="00890F61">
        <w:rPr>
          <w:rFonts w:ascii="Times New Roman" w:eastAsia="宋体" w:hAnsi="Times New Roman" w:cs="Times New Roman"/>
          <w:sz w:val="24"/>
          <w:szCs w:val="24"/>
        </w:rPr>
        <w:t>40</w:t>
      </w:r>
      <w:r w:rsidRPr="00890F61">
        <w:rPr>
          <w:rFonts w:ascii="Times New Roman" w:eastAsia="宋体" w:hAnsi="Times New Roman" w:cs="Times New Roman"/>
          <w:sz w:val="24"/>
          <w:szCs w:val="24"/>
        </w:rPr>
        <w:t>%</w:t>
      </w:r>
      <w:r w:rsidR="006F57AF" w:rsidRPr="00890F61">
        <w:rPr>
          <w:rFonts w:ascii="Times New Roman" w:eastAsia="宋体" w:hAnsi="Times New Roman" w:cs="Times New Roman"/>
          <w:sz w:val="24"/>
          <w:szCs w:val="24"/>
        </w:rPr>
        <w:t>的患者发生内镜下消化性溃疡</w:t>
      </w:r>
      <w:r w:rsidR="006F57AF" w:rsidRPr="00890F61">
        <w:rPr>
          <w:rFonts w:ascii="Times New Roman" w:eastAsia="宋体" w:hAnsi="Times New Roman" w:cs="Times New Roman"/>
          <w:sz w:val="24"/>
          <w:szCs w:val="24"/>
          <w:vertAlign w:val="superscript"/>
        </w:rPr>
        <w:t>[17]</w:t>
      </w:r>
      <w:r w:rsidR="006F57AF" w:rsidRPr="00890F61">
        <w:rPr>
          <w:rFonts w:ascii="Times New Roman" w:eastAsia="宋体" w:hAnsi="Times New Roman" w:cs="Times New Roman"/>
          <w:sz w:val="24"/>
          <w:szCs w:val="24"/>
        </w:rPr>
        <w:t>。</w:t>
      </w:r>
      <w:r w:rsidR="006F57AF" w:rsidRPr="00890F61">
        <w:rPr>
          <w:rFonts w:ascii="Times New Roman" w:eastAsia="宋体" w:hAnsi="Times New Roman" w:cs="Times New Roman"/>
          <w:sz w:val="24"/>
          <w:szCs w:val="24"/>
        </w:rPr>
        <w:t>PPI</w:t>
      </w:r>
      <w:r w:rsidR="006F57AF" w:rsidRPr="00890F61">
        <w:rPr>
          <w:rFonts w:ascii="Times New Roman" w:eastAsia="宋体" w:hAnsi="Times New Roman" w:cs="Times New Roman"/>
          <w:sz w:val="24"/>
          <w:szCs w:val="24"/>
        </w:rPr>
        <w:t>可有效降低</w:t>
      </w:r>
      <w:r w:rsidR="006F57AF" w:rsidRPr="00890F61">
        <w:rPr>
          <w:rFonts w:ascii="Times New Roman" w:eastAsia="宋体" w:hAnsi="Times New Roman" w:cs="Times New Roman"/>
          <w:sz w:val="24"/>
          <w:szCs w:val="24"/>
        </w:rPr>
        <w:t>NSAIDs</w:t>
      </w:r>
      <w:r w:rsidR="006F57AF" w:rsidRPr="00890F61">
        <w:rPr>
          <w:rFonts w:ascii="Times New Roman" w:eastAsia="宋体" w:hAnsi="Times New Roman" w:cs="Times New Roman"/>
          <w:sz w:val="24"/>
          <w:szCs w:val="24"/>
        </w:rPr>
        <w:t>引起的上消化道黏膜损伤</w:t>
      </w:r>
      <w:r w:rsidR="006F57AF" w:rsidRPr="00890F61">
        <w:rPr>
          <w:rFonts w:ascii="Times New Roman" w:eastAsia="宋体" w:hAnsi="Times New Roman" w:cs="Times New Roman"/>
          <w:sz w:val="24"/>
          <w:szCs w:val="24"/>
          <w:vertAlign w:val="superscript"/>
        </w:rPr>
        <w:t>[18]</w:t>
      </w:r>
      <w:r w:rsidR="006F57AF" w:rsidRPr="00890F61">
        <w:rPr>
          <w:rFonts w:ascii="Times New Roman" w:eastAsia="宋体" w:hAnsi="Times New Roman" w:cs="Times New Roman"/>
          <w:sz w:val="24"/>
          <w:szCs w:val="24"/>
        </w:rPr>
        <w:t>。</w:t>
      </w:r>
    </w:p>
    <w:p w:rsidR="007A5BD9" w:rsidRPr="00890F61" w:rsidRDefault="006F57AF" w:rsidP="00703EA2">
      <w:pPr>
        <w:spacing w:line="276" w:lineRule="auto"/>
        <w:ind w:firstLineChars="200" w:firstLine="480"/>
        <w:contextualSpacing/>
        <w:jc w:val="both"/>
        <w:rPr>
          <w:rFonts w:ascii="Times New Roman" w:eastAsia="宋体" w:hAnsi="Times New Roman" w:cs="Times New Roman"/>
          <w:sz w:val="24"/>
          <w:szCs w:val="24"/>
        </w:rPr>
      </w:pPr>
      <w:r w:rsidRPr="00890F61">
        <w:rPr>
          <w:rFonts w:ascii="Times New Roman" w:eastAsia="宋体" w:hAnsi="Times New Roman" w:cs="Times New Roman"/>
          <w:sz w:val="24"/>
          <w:szCs w:val="24"/>
        </w:rPr>
        <w:lastRenderedPageBreak/>
        <w:t>幽门螺杆菌（</w:t>
      </w:r>
      <w:proofErr w:type="spellStart"/>
      <w:r w:rsidRPr="00890F61">
        <w:rPr>
          <w:rFonts w:ascii="Times New Roman" w:eastAsia="宋体" w:hAnsi="Times New Roman" w:cs="Times New Roman"/>
        </w:rPr>
        <w:t>Helicobacterpylori</w:t>
      </w:r>
      <w:proofErr w:type="spellEnd"/>
      <w:r w:rsidR="00890F61" w:rsidRPr="00890F61">
        <w:rPr>
          <w:rFonts w:ascii="Times New Roman" w:eastAsia="宋体" w:hAnsi="Times New Roman" w:cs="Times New Roman"/>
        </w:rPr>
        <w:t>，</w:t>
      </w:r>
      <w:proofErr w:type="spellStart"/>
      <w:r w:rsidRPr="00890F61">
        <w:rPr>
          <w:rFonts w:ascii="Times New Roman" w:eastAsia="宋体" w:hAnsi="Times New Roman" w:cs="Times New Roman"/>
          <w:sz w:val="24"/>
          <w:szCs w:val="24"/>
        </w:rPr>
        <w:t>Hp</w:t>
      </w:r>
      <w:proofErr w:type="spellEnd"/>
      <w:r w:rsidRPr="00890F61">
        <w:rPr>
          <w:rFonts w:ascii="Times New Roman" w:eastAsia="宋体" w:hAnsi="Times New Roman" w:cs="Times New Roman"/>
          <w:sz w:val="24"/>
          <w:szCs w:val="24"/>
        </w:rPr>
        <w:t>）感染是</w:t>
      </w:r>
      <w:r w:rsidRPr="00890F61">
        <w:rPr>
          <w:rFonts w:ascii="Times New Roman" w:eastAsia="宋体" w:hAnsi="Times New Roman" w:cs="Times New Roman"/>
          <w:sz w:val="24"/>
          <w:szCs w:val="24"/>
        </w:rPr>
        <w:t>NSAIDs</w:t>
      </w:r>
      <w:r w:rsidRPr="00890F61">
        <w:rPr>
          <w:rFonts w:ascii="Times New Roman" w:eastAsia="宋体" w:hAnsi="Times New Roman" w:cs="Times New Roman"/>
          <w:sz w:val="24"/>
          <w:szCs w:val="24"/>
        </w:rPr>
        <w:t>相关消化道溃疡的独立风险因素，增加服用</w:t>
      </w:r>
      <w:r w:rsidRPr="00890F61">
        <w:rPr>
          <w:rFonts w:ascii="Times New Roman" w:eastAsia="宋体" w:hAnsi="Times New Roman" w:cs="Times New Roman"/>
          <w:sz w:val="24"/>
          <w:szCs w:val="24"/>
        </w:rPr>
        <w:t>NSAIDs</w:t>
      </w:r>
      <w:r w:rsidRPr="00890F61">
        <w:rPr>
          <w:rFonts w:ascii="Times New Roman" w:eastAsia="宋体" w:hAnsi="Times New Roman" w:cs="Times New Roman"/>
          <w:sz w:val="24"/>
          <w:szCs w:val="24"/>
        </w:rPr>
        <w:t>患者发生上消化道并发症的风险。一项随机研究显示，开始长期</w:t>
      </w:r>
      <w:r w:rsidRPr="00890F61">
        <w:rPr>
          <w:rFonts w:ascii="Times New Roman" w:eastAsia="宋体" w:hAnsi="Times New Roman" w:cs="Times New Roman"/>
          <w:sz w:val="24"/>
          <w:szCs w:val="24"/>
        </w:rPr>
        <w:t>NSAIDs</w:t>
      </w:r>
      <w:r w:rsidRPr="00890F61">
        <w:rPr>
          <w:rFonts w:ascii="Times New Roman" w:eastAsia="宋体" w:hAnsi="Times New Roman" w:cs="Times New Roman"/>
          <w:sz w:val="24"/>
          <w:szCs w:val="24"/>
        </w:rPr>
        <w:t>治疗前筛查和根除</w:t>
      </w:r>
      <w:proofErr w:type="spellStart"/>
      <w:r w:rsidRPr="00890F61">
        <w:rPr>
          <w:rFonts w:ascii="Times New Roman" w:eastAsia="宋体" w:hAnsi="Times New Roman" w:cs="Times New Roman"/>
          <w:sz w:val="24"/>
          <w:szCs w:val="24"/>
        </w:rPr>
        <w:t>Hp</w:t>
      </w:r>
      <w:proofErr w:type="spellEnd"/>
      <w:r w:rsidRPr="00890F61">
        <w:rPr>
          <w:rFonts w:ascii="Times New Roman" w:eastAsia="宋体" w:hAnsi="Times New Roman" w:cs="Times New Roman"/>
          <w:sz w:val="24"/>
          <w:szCs w:val="24"/>
        </w:rPr>
        <w:t>显著降低溃疡并发症风险。因此，针对高危患者，在接受长期</w:t>
      </w:r>
      <w:r w:rsidRPr="00890F61">
        <w:rPr>
          <w:rFonts w:ascii="Times New Roman" w:eastAsia="宋体" w:hAnsi="Times New Roman" w:cs="Times New Roman"/>
          <w:sz w:val="24"/>
          <w:szCs w:val="24"/>
        </w:rPr>
        <w:t>NSAIDs</w:t>
      </w:r>
      <w:r w:rsidRPr="00890F61">
        <w:rPr>
          <w:rFonts w:ascii="Times New Roman" w:eastAsia="宋体" w:hAnsi="Times New Roman" w:cs="Times New Roman"/>
          <w:sz w:val="24"/>
          <w:szCs w:val="24"/>
        </w:rPr>
        <w:t>和阿司匹林治疗前应检查并根除</w:t>
      </w:r>
      <w:proofErr w:type="spellStart"/>
      <w:r w:rsidRPr="00890F61">
        <w:rPr>
          <w:rFonts w:ascii="Times New Roman" w:eastAsia="宋体" w:hAnsi="Times New Roman" w:cs="Times New Roman"/>
          <w:sz w:val="24"/>
          <w:szCs w:val="24"/>
        </w:rPr>
        <w:t>Hp</w:t>
      </w:r>
      <w:proofErr w:type="spellEnd"/>
      <w:r w:rsidRPr="00890F61">
        <w:rPr>
          <w:rFonts w:ascii="Times New Roman" w:eastAsia="宋体" w:hAnsi="Times New Roman" w:cs="Times New Roman"/>
          <w:sz w:val="24"/>
          <w:szCs w:val="24"/>
          <w:vertAlign w:val="superscript"/>
        </w:rPr>
        <w:t>[19]</w:t>
      </w:r>
      <w:r w:rsidRPr="00890F61">
        <w:rPr>
          <w:rFonts w:ascii="Times New Roman" w:eastAsia="宋体" w:hAnsi="Times New Roman" w:cs="Times New Roman"/>
          <w:sz w:val="24"/>
          <w:szCs w:val="24"/>
        </w:rPr>
        <w:t>。</w:t>
      </w:r>
    </w:p>
    <w:p w:rsidR="007A5BD9" w:rsidRPr="00890F61" w:rsidRDefault="006F57AF" w:rsidP="00703EA2">
      <w:pPr>
        <w:spacing w:after="0"/>
        <w:ind w:firstLineChars="196" w:firstLine="472"/>
        <w:jc w:val="both"/>
        <w:rPr>
          <w:rFonts w:ascii="Times New Roman" w:eastAsia="宋体" w:hAnsi="Times New Roman" w:cs="Times New Roman"/>
          <w:sz w:val="24"/>
          <w:szCs w:val="24"/>
        </w:rPr>
      </w:pPr>
      <w:bookmarkStart w:id="3" w:name="_Hlk530394046"/>
      <w:r w:rsidRPr="00890F61">
        <w:rPr>
          <w:rFonts w:ascii="Times New Roman" w:eastAsia="宋体" w:hAnsi="Times New Roman" w:cs="Times New Roman"/>
          <w:b/>
          <w:sz w:val="24"/>
          <w:szCs w:val="24"/>
        </w:rPr>
        <w:t>预防性用药指征</w:t>
      </w:r>
      <w:r w:rsidR="007B0DEE" w:rsidRPr="00890F61">
        <w:rPr>
          <w:rFonts w:ascii="Times New Roman" w:eastAsia="宋体" w:hAnsi="Times New Roman" w:cs="Times New Roman"/>
          <w:b/>
          <w:sz w:val="24"/>
          <w:szCs w:val="24"/>
        </w:rPr>
        <w:t>：</w:t>
      </w:r>
      <w:bookmarkEnd w:id="3"/>
      <w:r w:rsidRPr="00890F61">
        <w:rPr>
          <w:rFonts w:ascii="Times New Roman" w:eastAsia="宋体" w:hAnsi="Times New Roman" w:cs="Times New Roman"/>
          <w:sz w:val="24"/>
          <w:szCs w:val="24"/>
        </w:rPr>
        <w:t>临床应综合评估患者发生</w:t>
      </w:r>
      <w:r w:rsidRPr="00890F61">
        <w:rPr>
          <w:rFonts w:ascii="Times New Roman" w:eastAsia="宋体" w:hAnsi="Times New Roman" w:cs="Times New Roman"/>
          <w:sz w:val="24"/>
          <w:szCs w:val="24"/>
        </w:rPr>
        <w:t>NSAID</w:t>
      </w:r>
      <w:r w:rsidRPr="00890F61">
        <w:rPr>
          <w:rFonts w:ascii="Times New Roman" w:eastAsia="宋体" w:hAnsi="Times New Roman" w:cs="Times New Roman"/>
          <w:sz w:val="24"/>
          <w:szCs w:val="24"/>
        </w:rPr>
        <w:t>相关的消化道黏膜损伤的危险因素和风险等级，判断是否需要预防性使用</w:t>
      </w:r>
      <w:r w:rsidRPr="00890F61">
        <w:rPr>
          <w:rFonts w:ascii="Times New Roman" w:eastAsia="宋体" w:hAnsi="Times New Roman" w:cs="Times New Roman"/>
          <w:sz w:val="24"/>
          <w:szCs w:val="24"/>
        </w:rPr>
        <w:t>PPI</w:t>
      </w:r>
      <w:r w:rsidR="007B0DEE" w:rsidRPr="00890F61">
        <w:rPr>
          <w:rFonts w:ascii="Times New Roman" w:eastAsia="宋体" w:hAnsi="Times New Roman" w:cs="Times New Roman"/>
          <w:sz w:val="24"/>
          <w:szCs w:val="24"/>
        </w:rPr>
        <w:t>，见</w:t>
      </w:r>
      <w:r w:rsidRPr="00890F61">
        <w:rPr>
          <w:rFonts w:ascii="Times New Roman" w:eastAsia="宋体" w:hAnsi="Times New Roman" w:cs="Times New Roman"/>
          <w:sz w:val="24"/>
          <w:szCs w:val="24"/>
        </w:rPr>
        <w:t>表</w:t>
      </w:r>
      <w:r w:rsidRPr="00890F61">
        <w:rPr>
          <w:rFonts w:ascii="Times New Roman" w:eastAsia="宋体" w:hAnsi="Times New Roman" w:cs="Times New Roman"/>
          <w:sz w:val="24"/>
          <w:szCs w:val="24"/>
        </w:rPr>
        <w:t>3</w:t>
      </w:r>
      <w:r w:rsidRPr="00890F61">
        <w:rPr>
          <w:rFonts w:ascii="Times New Roman" w:eastAsia="宋体" w:hAnsi="Times New Roman" w:cs="Times New Roman"/>
          <w:sz w:val="24"/>
          <w:szCs w:val="24"/>
        </w:rPr>
        <w:t>。</w:t>
      </w:r>
    </w:p>
    <w:p w:rsidR="009A72B1" w:rsidRPr="00890F61" w:rsidRDefault="009A72B1" w:rsidP="00703EA2">
      <w:pPr>
        <w:spacing w:after="0" w:line="240" w:lineRule="auto"/>
        <w:ind w:firstLineChars="196" w:firstLine="472"/>
        <w:jc w:val="both"/>
        <w:rPr>
          <w:rFonts w:ascii="Times New Roman" w:eastAsia="宋体" w:hAnsi="Times New Roman" w:cs="Times New Roman"/>
          <w:bCs/>
          <w:color w:val="000000" w:themeColor="text1"/>
          <w:sz w:val="24"/>
          <w:szCs w:val="24"/>
        </w:rPr>
      </w:pPr>
      <w:r w:rsidRPr="00890F61">
        <w:rPr>
          <w:rFonts w:ascii="Times New Roman" w:eastAsia="宋体" w:hAnsi="Times New Roman" w:cs="Times New Roman"/>
          <w:b/>
          <w:sz w:val="24"/>
          <w:szCs w:val="24"/>
        </w:rPr>
        <w:t>用药建议：</w:t>
      </w:r>
      <w:r w:rsidRPr="00890F61">
        <w:rPr>
          <w:rFonts w:ascii="Times New Roman" w:eastAsia="宋体" w:hAnsi="Times New Roman" w:cs="Times New Roman"/>
          <w:sz w:val="24"/>
          <w:szCs w:val="24"/>
        </w:rPr>
        <w:t>（</w:t>
      </w:r>
      <w:r w:rsidRPr="00890F61">
        <w:rPr>
          <w:rFonts w:ascii="Times New Roman" w:eastAsia="宋体" w:hAnsi="Times New Roman" w:cs="Times New Roman"/>
          <w:bCs/>
          <w:sz w:val="24"/>
          <w:szCs w:val="24"/>
        </w:rPr>
        <w:t>1</w:t>
      </w:r>
      <w:r w:rsidRPr="00890F61">
        <w:rPr>
          <w:rFonts w:ascii="Times New Roman" w:eastAsia="宋体" w:hAnsi="Times New Roman" w:cs="Times New Roman"/>
          <w:bCs/>
          <w:sz w:val="24"/>
          <w:szCs w:val="24"/>
        </w:rPr>
        <w:t>）</w:t>
      </w:r>
      <w:r w:rsidRPr="00890F61">
        <w:rPr>
          <w:rFonts w:ascii="Times New Roman" w:eastAsia="宋体" w:hAnsi="Times New Roman" w:cs="Times New Roman"/>
          <w:bCs/>
          <w:color w:val="000000" w:themeColor="text1"/>
          <w:sz w:val="24"/>
          <w:szCs w:val="24"/>
        </w:rPr>
        <w:t>PPI</w:t>
      </w:r>
      <w:r w:rsidRPr="00890F61">
        <w:rPr>
          <w:rFonts w:ascii="Times New Roman" w:eastAsia="宋体" w:hAnsi="Times New Roman" w:cs="Times New Roman"/>
          <w:bCs/>
          <w:color w:val="000000" w:themeColor="text1"/>
          <w:sz w:val="24"/>
          <w:szCs w:val="24"/>
        </w:rPr>
        <w:t>是预防</w:t>
      </w:r>
      <w:r w:rsidRPr="00890F61">
        <w:rPr>
          <w:rFonts w:ascii="Times New Roman" w:eastAsia="宋体" w:hAnsi="Times New Roman" w:cs="Times New Roman"/>
          <w:bCs/>
          <w:color w:val="000000" w:themeColor="text1"/>
          <w:sz w:val="24"/>
          <w:szCs w:val="24"/>
        </w:rPr>
        <w:t>NSAIDs</w:t>
      </w:r>
      <w:r w:rsidRPr="00890F61">
        <w:rPr>
          <w:rFonts w:ascii="Times New Roman" w:eastAsia="宋体" w:hAnsi="Times New Roman" w:cs="Times New Roman"/>
          <w:bCs/>
          <w:color w:val="000000" w:themeColor="text1"/>
          <w:sz w:val="24"/>
          <w:szCs w:val="24"/>
        </w:rPr>
        <w:t>相关上消化道损伤的首选药物。（</w:t>
      </w:r>
      <w:r w:rsidRPr="00890F61">
        <w:rPr>
          <w:rFonts w:ascii="Times New Roman" w:eastAsia="宋体" w:hAnsi="Times New Roman" w:cs="Times New Roman"/>
          <w:bCs/>
          <w:color w:val="000000" w:themeColor="text1"/>
          <w:sz w:val="24"/>
          <w:szCs w:val="24"/>
        </w:rPr>
        <w:t>2</w:t>
      </w:r>
      <w:r w:rsidRPr="00890F61">
        <w:rPr>
          <w:rFonts w:ascii="Times New Roman" w:eastAsia="宋体" w:hAnsi="Times New Roman" w:cs="Times New Roman"/>
          <w:bCs/>
          <w:color w:val="000000" w:themeColor="text1"/>
          <w:sz w:val="24"/>
          <w:szCs w:val="24"/>
        </w:rPr>
        <w:t>）说明书推荐剂量的</w:t>
      </w:r>
      <w:r w:rsidRPr="00890F61">
        <w:rPr>
          <w:rFonts w:ascii="Times New Roman" w:eastAsia="宋体" w:hAnsi="Times New Roman" w:cs="Times New Roman"/>
          <w:bCs/>
          <w:color w:val="000000" w:themeColor="text1"/>
          <w:sz w:val="24"/>
          <w:szCs w:val="24"/>
        </w:rPr>
        <w:t>H</w:t>
      </w:r>
      <w:r w:rsidRPr="00890F61">
        <w:rPr>
          <w:rFonts w:ascii="Times New Roman" w:eastAsia="宋体" w:hAnsi="Times New Roman" w:cs="Times New Roman"/>
          <w:bCs/>
          <w:color w:val="000000" w:themeColor="text1"/>
          <w:sz w:val="24"/>
          <w:szCs w:val="24"/>
          <w:vertAlign w:val="subscript"/>
        </w:rPr>
        <w:t>2</w:t>
      </w:r>
      <w:r w:rsidRPr="00890F61">
        <w:rPr>
          <w:rFonts w:ascii="Times New Roman" w:eastAsia="宋体" w:hAnsi="Times New Roman" w:cs="Times New Roman"/>
          <w:bCs/>
          <w:color w:val="000000" w:themeColor="text1"/>
          <w:sz w:val="24"/>
          <w:szCs w:val="24"/>
        </w:rPr>
        <w:t>RA</w:t>
      </w:r>
      <w:r w:rsidRPr="00890F61">
        <w:rPr>
          <w:rFonts w:ascii="Times New Roman" w:eastAsia="宋体" w:hAnsi="Times New Roman" w:cs="Times New Roman"/>
          <w:bCs/>
          <w:color w:val="000000" w:themeColor="text1"/>
          <w:sz w:val="24"/>
          <w:szCs w:val="24"/>
        </w:rPr>
        <w:t>可预防十二指肠溃疡发生，但不能预防胃溃疡发生，双倍剂量的</w:t>
      </w:r>
      <w:r w:rsidRPr="00890F61">
        <w:rPr>
          <w:rFonts w:ascii="Times New Roman" w:eastAsia="宋体" w:hAnsi="Times New Roman" w:cs="Times New Roman"/>
          <w:bCs/>
          <w:color w:val="000000" w:themeColor="text1"/>
          <w:sz w:val="24"/>
          <w:szCs w:val="24"/>
        </w:rPr>
        <w:t>H</w:t>
      </w:r>
      <w:r w:rsidRPr="00890F61">
        <w:rPr>
          <w:rFonts w:ascii="Times New Roman" w:eastAsia="宋体" w:hAnsi="Times New Roman" w:cs="Times New Roman"/>
          <w:bCs/>
          <w:color w:val="000000" w:themeColor="text1"/>
          <w:sz w:val="24"/>
          <w:szCs w:val="24"/>
          <w:vertAlign w:val="subscript"/>
        </w:rPr>
        <w:t>2</w:t>
      </w:r>
      <w:r w:rsidRPr="00890F61">
        <w:rPr>
          <w:rFonts w:ascii="Times New Roman" w:eastAsia="宋体" w:hAnsi="Times New Roman" w:cs="Times New Roman"/>
          <w:bCs/>
          <w:color w:val="000000" w:themeColor="text1"/>
          <w:sz w:val="24"/>
          <w:szCs w:val="24"/>
        </w:rPr>
        <w:t>RA</w:t>
      </w:r>
      <w:r w:rsidRPr="00890F61">
        <w:rPr>
          <w:rFonts w:ascii="Times New Roman" w:eastAsia="宋体" w:hAnsi="Times New Roman" w:cs="Times New Roman"/>
          <w:bCs/>
          <w:color w:val="000000" w:themeColor="text1"/>
          <w:sz w:val="24"/>
          <w:szCs w:val="24"/>
        </w:rPr>
        <w:t>能有效降低</w:t>
      </w:r>
      <w:r w:rsidRPr="00890F61">
        <w:rPr>
          <w:rFonts w:ascii="Times New Roman" w:eastAsia="宋体" w:hAnsi="Times New Roman" w:cs="Times New Roman"/>
          <w:bCs/>
          <w:color w:val="000000" w:themeColor="text1"/>
          <w:sz w:val="24"/>
          <w:szCs w:val="24"/>
        </w:rPr>
        <w:t>NSAIDs</w:t>
      </w:r>
      <w:r w:rsidRPr="00890F61">
        <w:rPr>
          <w:rFonts w:ascii="Times New Roman" w:eastAsia="宋体" w:hAnsi="Times New Roman" w:cs="Times New Roman"/>
          <w:bCs/>
          <w:color w:val="000000" w:themeColor="text1"/>
          <w:sz w:val="24"/>
          <w:szCs w:val="24"/>
        </w:rPr>
        <w:t>诱导的内镜下胃溃疡的发生</w:t>
      </w:r>
      <w:r w:rsidRPr="00890F61">
        <w:rPr>
          <w:rFonts w:ascii="Times New Roman" w:eastAsia="宋体" w:hAnsi="Times New Roman" w:cs="Times New Roman"/>
          <w:bCs/>
          <w:color w:val="000000" w:themeColor="text1"/>
          <w:sz w:val="24"/>
          <w:szCs w:val="24"/>
          <w:vertAlign w:val="superscript"/>
        </w:rPr>
        <w:t>[21-23]</w:t>
      </w:r>
      <w:r w:rsidRPr="00890F61">
        <w:rPr>
          <w:rFonts w:ascii="Times New Roman" w:eastAsia="宋体" w:hAnsi="Times New Roman" w:cs="Times New Roman"/>
          <w:bCs/>
          <w:color w:val="000000" w:themeColor="text1"/>
          <w:sz w:val="24"/>
          <w:szCs w:val="24"/>
        </w:rPr>
        <w:t>。</w:t>
      </w:r>
    </w:p>
    <w:p w:rsidR="007A5BD9" w:rsidRDefault="007A5BD9" w:rsidP="00703EA2">
      <w:pPr>
        <w:autoSpaceDE w:val="0"/>
        <w:autoSpaceDN w:val="0"/>
        <w:adjustRightInd w:val="0"/>
        <w:spacing w:after="0" w:line="240" w:lineRule="auto"/>
        <w:ind w:firstLineChars="200" w:firstLine="400"/>
        <w:jc w:val="both"/>
        <w:rPr>
          <w:rFonts w:ascii="微软雅黑" w:eastAsia="微软雅黑" w:hAnsi="微软雅黑"/>
          <w:sz w:val="20"/>
          <w:szCs w:val="20"/>
        </w:rPr>
      </w:pPr>
    </w:p>
    <w:p w:rsidR="007A5BD9" w:rsidRPr="007B0DEE" w:rsidRDefault="006F57AF" w:rsidP="0019434E">
      <w:pPr>
        <w:spacing w:line="240" w:lineRule="auto"/>
        <w:rPr>
          <w:rFonts w:ascii="黑体" w:eastAsia="黑体" w:hAnsi="黑体"/>
          <w:b/>
          <w:sz w:val="20"/>
          <w:szCs w:val="20"/>
        </w:rPr>
      </w:pPr>
      <w:r w:rsidRPr="007B0DEE">
        <w:rPr>
          <w:rFonts w:ascii="黑体" w:eastAsia="黑体" w:hAnsi="黑体" w:cs="Times New Roman" w:hint="eastAsia"/>
          <w:sz w:val="24"/>
          <w:szCs w:val="24"/>
        </w:rPr>
        <w:t xml:space="preserve">表3 </w:t>
      </w:r>
      <w:r w:rsidRPr="007B0DEE">
        <w:rPr>
          <w:rFonts w:ascii="黑体" w:eastAsia="黑体" w:hAnsi="黑体" w:cs="Times New Roman"/>
          <w:sz w:val="24"/>
          <w:szCs w:val="24"/>
        </w:rPr>
        <w:t xml:space="preserve"> </w:t>
      </w:r>
      <w:r w:rsidRPr="00890F61">
        <w:rPr>
          <w:rFonts w:ascii="Times New Roman" w:eastAsia="黑体" w:hAnsi="Times New Roman" w:cs="Times New Roman"/>
          <w:sz w:val="24"/>
          <w:szCs w:val="24"/>
        </w:rPr>
        <w:t>NSAIDs</w:t>
      </w:r>
      <w:r w:rsidRPr="007B0DEE">
        <w:rPr>
          <w:rFonts w:ascii="黑体" w:eastAsia="黑体" w:hAnsi="黑体" w:cs="Times New Roman"/>
          <w:sz w:val="24"/>
          <w:szCs w:val="24"/>
        </w:rPr>
        <w:t>溃疡并发症的风险等级及预防建议</w:t>
      </w:r>
      <w:r w:rsidRPr="00890F61">
        <w:rPr>
          <w:rFonts w:ascii="Times New Roman" w:eastAsia="黑体" w:hAnsi="Times New Roman" w:cs="Times New Roman"/>
          <w:sz w:val="24"/>
          <w:szCs w:val="24"/>
          <w:vertAlign w:val="superscript"/>
        </w:rPr>
        <w:t>[20]</w:t>
      </w:r>
    </w:p>
    <w:tbl>
      <w:tblPr>
        <w:tblStyle w:val="aa"/>
        <w:tblW w:w="9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3969"/>
        <w:gridCol w:w="3685"/>
      </w:tblGrid>
      <w:tr w:rsidR="007A5BD9" w:rsidRPr="009A72B1" w:rsidTr="009A72B1">
        <w:tc>
          <w:tcPr>
            <w:tcW w:w="1526" w:type="dxa"/>
            <w:tcBorders>
              <w:top w:val="single" w:sz="4" w:space="0" w:color="auto"/>
              <w:bottom w:val="single" w:sz="4" w:space="0" w:color="auto"/>
            </w:tcBorders>
          </w:tcPr>
          <w:p w:rsidR="007A5BD9" w:rsidRPr="00890F61" w:rsidRDefault="006F57AF" w:rsidP="00890F61">
            <w:pPr>
              <w:spacing w:after="0" w:line="240" w:lineRule="auto"/>
              <w:rPr>
                <w:rFonts w:ascii="宋体" w:eastAsia="宋体" w:hAnsi="宋体"/>
                <w:b/>
                <w:sz w:val="24"/>
                <w:szCs w:val="24"/>
              </w:rPr>
            </w:pPr>
            <w:r w:rsidRPr="00890F61">
              <w:rPr>
                <w:rFonts w:ascii="宋体" w:eastAsia="宋体" w:hAnsi="宋体" w:hint="eastAsia"/>
                <w:b/>
                <w:sz w:val="24"/>
                <w:szCs w:val="24"/>
              </w:rPr>
              <w:t>风险等级</w:t>
            </w:r>
          </w:p>
        </w:tc>
        <w:tc>
          <w:tcPr>
            <w:tcW w:w="3969" w:type="dxa"/>
            <w:tcBorders>
              <w:top w:val="single" w:sz="4" w:space="0" w:color="auto"/>
              <w:bottom w:val="single" w:sz="4" w:space="0" w:color="auto"/>
            </w:tcBorders>
          </w:tcPr>
          <w:p w:rsidR="007A5BD9" w:rsidRPr="00890F61" w:rsidRDefault="006F57AF">
            <w:pPr>
              <w:spacing w:after="0" w:line="240" w:lineRule="auto"/>
              <w:jc w:val="center"/>
              <w:rPr>
                <w:rFonts w:ascii="宋体" w:eastAsia="宋体" w:hAnsi="宋体"/>
                <w:b/>
                <w:sz w:val="24"/>
                <w:szCs w:val="24"/>
              </w:rPr>
            </w:pPr>
            <w:bookmarkStart w:id="4" w:name="_Hlk526467712"/>
            <w:r w:rsidRPr="00890F61">
              <w:rPr>
                <w:rFonts w:ascii="宋体" w:eastAsia="宋体" w:hAnsi="宋体" w:hint="eastAsia"/>
                <w:b/>
                <w:sz w:val="24"/>
                <w:szCs w:val="24"/>
              </w:rPr>
              <w:t>危险因素</w:t>
            </w:r>
          </w:p>
        </w:tc>
        <w:tc>
          <w:tcPr>
            <w:tcW w:w="3685" w:type="dxa"/>
            <w:tcBorders>
              <w:top w:val="single" w:sz="4" w:space="0" w:color="auto"/>
              <w:bottom w:val="single" w:sz="4" w:space="0" w:color="auto"/>
            </w:tcBorders>
          </w:tcPr>
          <w:p w:rsidR="007A5BD9" w:rsidRPr="00890F61" w:rsidRDefault="006F57AF">
            <w:pPr>
              <w:spacing w:after="0" w:line="240" w:lineRule="auto"/>
              <w:jc w:val="center"/>
              <w:rPr>
                <w:rFonts w:ascii="宋体" w:eastAsia="宋体" w:hAnsi="宋体"/>
                <w:b/>
                <w:sz w:val="24"/>
                <w:szCs w:val="24"/>
              </w:rPr>
            </w:pPr>
            <w:r w:rsidRPr="00890F61">
              <w:rPr>
                <w:rFonts w:ascii="宋体" w:eastAsia="宋体" w:hAnsi="宋体" w:hint="eastAsia"/>
                <w:b/>
                <w:sz w:val="24"/>
                <w:szCs w:val="24"/>
              </w:rPr>
              <w:t>预防建议</w:t>
            </w:r>
          </w:p>
        </w:tc>
      </w:tr>
      <w:tr w:rsidR="007A5BD9" w:rsidRPr="009A72B1" w:rsidTr="009A72B1">
        <w:tc>
          <w:tcPr>
            <w:tcW w:w="1526" w:type="dxa"/>
            <w:tcBorders>
              <w:top w:val="single" w:sz="4" w:space="0" w:color="auto"/>
              <w:bottom w:val="dashed" w:sz="4" w:space="0" w:color="auto"/>
            </w:tcBorders>
          </w:tcPr>
          <w:p w:rsidR="007A5BD9" w:rsidRPr="00890F61" w:rsidRDefault="006F57AF">
            <w:pPr>
              <w:spacing w:after="0" w:line="240" w:lineRule="auto"/>
              <w:rPr>
                <w:rFonts w:ascii="Times New Roman" w:eastAsia="宋体" w:hAnsi="Times New Roman" w:cs="Times New Roman"/>
                <w:sz w:val="24"/>
                <w:szCs w:val="24"/>
              </w:rPr>
            </w:pPr>
            <w:r w:rsidRPr="00890F61">
              <w:rPr>
                <w:rFonts w:ascii="Times New Roman" w:eastAsia="宋体" w:hAnsi="Times New Roman" w:cs="Times New Roman"/>
                <w:sz w:val="24"/>
                <w:szCs w:val="24"/>
              </w:rPr>
              <w:t>高风险</w:t>
            </w:r>
          </w:p>
        </w:tc>
        <w:tc>
          <w:tcPr>
            <w:tcW w:w="3969" w:type="dxa"/>
            <w:tcBorders>
              <w:top w:val="single" w:sz="4" w:space="0" w:color="auto"/>
              <w:bottom w:val="dashed" w:sz="4" w:space="0" w:color="auto"/>
            </w:tcBorders>
          </w:tcPr>
          <w:p w:rsidR="007A5BD9" w:rsidRPr="00890F61" w:rsidRDefault="006F57AF">
            <w:pPr>
              <w:spacing w:after="0" w:line="240" w:lineRule="auto"/>
              <w:rPr>
                <w:rFonts w:ascii="Times New Roman" w:eastAsia="宋体" w:hAnsi="Times New Roman" w:cs="Times New Roman"/>
                <w:sz w:val="24"/>
                <w:szCs w:val="24"/>
              </w:rPr>
            </w:pPr>
            <w:r w:rsidRPr="00890F61">
              <w:rPr>
                <w:rFonts w:ascii="Times New Roman" w:eastAsia="宋体" w:hAnsi="Times New Roman" w:cs="Times New Roman"/>
                <w:sz w:val="24"/>
                <w:szCs w:val="24"/>
              </w:rPr>
              <w:t>1.</w:t>
            </w:r>
            <w:r w:rsidRPr="00890F61">
              <w:rPr>
                <w:rFonts w:ascii="Times New Roman" w:eastAsia="宋体" w:hAnsi="Times New Roman" w:cs="Times New Roman"/>
                <w:sz w:val="24"/>
                <w:szCs w:val="24"/>
              </w:rPr>
              <w:t>曾有特别是近期发生溃疡并发症</w:t>
            </w:r>
          </w:p>
          <w:p w:rsidR="007A5BD9" w:rsidRPr="00890F61" w:rsidRDefault="006F57AF" w:rsidP="009A72B1">
            <w:pPr>
              <w:spacing w:after="0" w:line="240" w:lineRule="auto"/>
              <w:rPr>
                <w:rFonts w:ascii="Times New Roman" w:eastAsia="宋体" w:hAnsi="Times New Roman" w:cs="Times New Roman"/>
                <w:sz w:val="24"/>
                <w:szCs w:val="24"/>
              </w:rPr>
            </w:pPr>
            <w:r w:rsidRPr="00890F61">
              <w:rPr>
                <w:rFonts w:ascii="Times New Roman" w:eastAsia="宋体" w:hAnsi="Times New Roman" w:cs="Times New Roman"/>
                <w:sz w:val="24"/>
                <w:szCs w:val="24"/>
              </w:rPr>
              <w:t>2.</w:t>
            </w:r>
            <w:r w:rsidRPr="00890F61">
              <w:rPr>
                <w:rFonts w:ascii="Times New Roman" w:eastAsia="宋体" w:hAnsi="Times New Roman" w:cs="Times New Roman"/>
                <w:sz w:val="24"/>
                <w:szCs w:val="24"/>
              </w:rPr>
              <w:t>存在</w:t>
            </w:r>
            <w:r w:rsidRPr="00890F61">
              <w:rPr>
                <w:rFonts w:ascii="Times New Roman" w:eastAsia="宋体" w:hAnsi="Times New Roman" w:cs="Times New Roman"/>
                <w:sz w:val="24"/>
                <w:szCs w:val="24"/>
              </w:rPr>
              <w:t>2</w:t>
            </w:r>
            <w:r w:rsidRPr="00890F61">
              <w:rPr>
                <w:rFonts w:ascii="Times New Roman" w:eastAsia="宋体" w:hAnsi="Times New Roman" w:cs="Times New Roman"/>
                <w:sz w:val="24"/>
                <w:szCs w:val="24"/>
              </w:rPr>
              <w:t>个以上危险因素</w:t>
            </w:r>
            <w:r w:rsidRPr="00890F61">
              <w:rPr>
                <w:rFonts w:ascii="Times New Roman" w:eastAsia="宋体" w:hAnsi="Times New Roman" w:cs="Times New Roman"/>
                <w:sz w:val="24"/>
                <w:szCs w:val="24"/>
              </w:rPr>
              <w:t xml:space="preserve"> </w:t>
            </w:r>
          </w:p>
        </w:tc>
        <w:tc>
          <w:tcPr>
            <w:tcW w:w="3685" w:type="dxa"/>
            <w:tcBorders>
              <w:top w:val="single" w:sz="4" w:space="0" w:color="auto"/>
              <w:bottom w:val="dashed" w:sz="4" w:space="0" w:color="auto"/>
            </w:tcBorders>
          </w:tcPr>
          <w:p w:rsidR="007A5BD9" w:rsidRPr="00890F61" w:rsidRDefault="006F57AF">
            <w:pPr>
              <w:spacing w:after="0" w:line="240" w:lineRule="auto"/>
              <w:rPr>
                <w:rFonts w:ascii="Times New Roman" w:eastAsia="宋体" w:hAnsi="Times New Roman" w:cs="Times New Roman"/>
                <w:sz w:val="24"/>
                <w:szCs w:val="24"/>
              </w:rPr>
            </w:pPr>
            <w:r w:rsidRPr="00890F61">
              <w:rPr>
                <w:rFonts w:ascii="Times New Roman" w:eastAsia="宋体" w:hAnsi="Times New Roman" w:cs="Times New Roman"/>
                <w:sz w:val="24"/>
                <w:szCs w:val="24"/>
              </w:rPr>
              <w:t>停用</w:t>
            </w:r>
            <w:r w:rsidRPr="00890F61">
              <w:rPr>
                <w:rFonts w:ascii="Times New Roman" w:eastAsia="宋体" w:hAnsi="Times New Roman" w:cs="Times New Roman"/>
                <w:sz w:val="24"/>
                <w:szCs w:val="24"/>
              </w:rPr>
              <w:t>NSAIDs</w:t>
            </w:r>
            <w:r w:rsidRPr="00890F61">
              <w:rPr>
                <w:rFonts w:ascii="Times New Roman" w:eastAsia="宋体" w:hAnsi="Times New Roman" w:cs="Times New Roman"/>
                <w:sz w:val="24"/>
                <w:szCs w:val="24"/>
              </w:rPr>
              <w:t>和阿司匹林，如不能停用，则选用选择性</w:t>
            </w:r>
            <w:r w:rsidRPr="00890F61">
              <w:rPr>
                <w:rFonts w:ascii="Times New Roman" w:eastAsia="宋体" w:hAnsi="Times New Roman" w:cs="Times New Roman"/>
                <w:sz w:val="24"/>
                <w:szCs w:val="24"/>
              </w:rPr>
              <w:t>COX-2</w:t>
            </w:r>
            <w:r w:rsidRPr="00890F61">
              <w:rPr>
                <w:rFonts w:ascii="Times New Roman" w:eastAsia="宋体" w:hAnsi="Times New Roman" w:cs="Times New Roman"/>
                <w:sz w:val="24"/>
                <w:szCs w:val="24"/>
              </w:rPr>
              <w:t>抑制剂</w:t>
            </w:r>
            <w:r w:rsidRPr="00890F61">
              <w:rPr>
                <w:rFonts w:ascii="Times New Roman" w:eastAsia="宋体" w:hAnsi="Times New Roman" w:cs="Times New Roman"/>
                <w:sz w:val="24"/>
                <w:szCs w:val="24"/>
              </w:rPr>
              <w:t>+PPI</w:t>
            </w:r>
          </w:p>
        </w:tc>
      </w:tr>
      <w:tr w:rsidR="007A5BD9" w:rsidRPr="009A72B1" w:rsidTr="009A72B1">
        <w:tc>
          <w:tcPr>
            <w:tcW w:w="1526" w:type="dxa"/>
            <w:tcBorders>
              <w:top w:val="dashed" w:sz="4" w:space="0" w:color="auto"/>
              <w:bottom w:val="dashed" w:sz="4" w:space="0" w:color="auto"/>
            </w:tcBorders>
          </w:tcPr>
          <w:p w:rsidR="007A5BD9" w:rsidRPr="00890F61" w:rsidRDefault="006F57AF">
            <w:pPr>
              <w:spacing w:after="0" w:line="240" w:lineRule="auto"/>
              <w:rPr>
                <w:rFonts w:ascii="Times New Roman" w:eastAsia="宋体" w:hAnsi="Times New Roman" w:cs="Times New Roman"/>
                <w:sz w:val="24"/>
                <w:szCs w:val="24"/>
              </w:rPr>
            </w:pPr>
            <w:r w:rsidRPr="00890F61">
              <w:rPr>
                <w:rFonts w:ascii="Times New Roman" w:eastAsia="宋体" w:hAnsi="Times New Roman" w:cs="Times New Roman"/>
                <w:sz w:val="24"/>
                <w:szCs w:val="24"/>
              </w:rPr>
              <w:t>中风险</w:t>
            </w:r>
          </w:p>
          <w:p w:rsidR="007A5BD9" w:rsidRPr="00890F61" w:rsidRDefault="006F57AF">
            <w:pPr>
              <w:spacing w:after="0" w:line="240" w:lineRule="auto"/>
              <w:rPr>
                <w:rFonts w:ascii="Times New Roman" w:eastAsia="宋体" w:hAnsi="Times New Roman" w:cs="Times New Roman"/>
                <w:sz w:val="24"/>
                <w:szCs w:val="24"/>
              </w:rPr>
            </w:pPr>
            <w:r w:rsidRPr="00890F61">
              <w:rPr>
                <w:rFonts w:ascii="Times New Roman" w:eastAsia="宋体" w:hAnsi="Times New Roman" w:cs="Times New Roman"/>
                <w:sz w:val="24"/>
                <w:szCs w:val="24"/>
              </w:rPr>
              <w:t>（</w:t>
            </w:r>
            <w:r w:rsidRPr="00890F61">
              <w:rPr>
                <w:rFonts w:ascii="Times New Roman" w:eastAsia="宋体" w:hAnsi="Times New Roman" w:cs="Times New Roman"/>
                <w:sz w:val="24"/>
                <w:szCs w:val="24"/>
              </w:rPr>
              <w:t>1</w:t>
            </w:r>
            <w:r w:rsidR="009A72B1" w:rsidRPr="00890F61">
              <w:rPr>
                <w:rFonts w:ascii="Times New Roman" w:eastAsia="宋体" w:hAnsi="Times New Roman" w:cs="Times New Roman"/>
                <w:sz w:val="24"/>
                <w:szCs w:val="24"/>
              </w:rPr>
              <w:t>～</w:t>
            </w:r>
            <w:r w:rsidRPr="00890F61">
              <w:rPr>
                <w:rFonts w:ascii="Times New Roman" w:eastAsia="宋体" w:hAnsi="Times New Roman" w:cs="Times New Roman"/>
                <w:sz w:val="24"/>
                <w:szCs w:val="24"/>
              </w:rPr>
              <w:t>2</w:t>
            </w:r>
            <w:r w:rsidRPr="00890F61">
              <w:rPr>
                <w:rFonts w:ascii="Times New Roman" w:eastAsia="宋体" w:hAnsi="Times New Roman" w:cs="Times New Roman"/>
                <w:sz w:val="24"/>
                <w:szCs w:val="24"/>
              </w:rPr>
              <w:t>个危险因素）</w:t>
            </w:r>
          </w:p>
          <w:p w:rsidR="007A5BD9" w:rsidRPr="00890F61" w:rsidRDefault="007A5BD9">
            <w:pPr>
              <w:spacing w:after="0" w:line="240" w:lineRule="auto"/>
              <w:rPr>
                <w:rFonts w:ascii="Times New Roman" w:eastAsia="宋体" w:hAnsi="Times New Roman" w:cs="Times New Roman"/>
                <w:sz w:val="24"/>
                <w:szCs w:val="24"/>
              </w:rPr>
            </w:pPr>
          </w:p>
        </w:tc>
        <w:tc>
          <w:tcPr>
            <w:tcW w:w="3969" w:type="dxa"/>
            <w:tcBorders>
              <w:top w:val="dashed" w:sz="4" w:space="0" w:color="auto"/>
              <w:bottom w:val="dashed" w:sz="4" w:space="0" w:color="auto"/>
            </w:tcBorders>
          </w:tcPr>
          <w:p w:rsidR="007A5BD9" w:rsidRPr="00890F61" w:rsidRDefault="009A72B1">
            <w:pPr>
              <w:spacing w:after="0" w:line="240" w:lineRule="auto"/>
              <w:rPr>
                <w:rFonts w:ascii="Times New Roman" w:eastAsia="宋体" w:hAnsi="Times New Roman" w:cs="Times New Roman"/>
                <w:sz w:val="24"/>
                <w:szCs w:val="24"/>
              </w:rPr>
            </w:pPr>
            <w:r w:rsidRPr="00890F61">
              <w:rPr>
                <w:rFonts w:ascii="Times New Roman" w:eastAsia="宋体" w:hAnsi="Times New Roman" w:cs="Times New Roman"/>
                <w:sz w:val="24"/>
                <w:szCs w:val="24"/>
              </w:rPr>
              <w:t>1.</w:t>
            </w:r>
            <w:r w:rsidR="006F57AF" w:rsidRPr="00890F61">
              <w:rPr>
                <w:rFonts w:ascii="Times New Roman" w:eastAsia="宋体" w:hAnsi="Times New Roman" w:cs="Times New Roman"/>
                <w:sz w:val="24"/>
                <w:szCs w:val="24"/>
              </w:rPr>
              <w:t>年龄</w:t>
            </w:r>
            <w:r w:rsidRPr="00890F61">
              <w:rPr>
                <w:rFonts w:ascii="Times New Roman" w:eastAsia="宋体" w:hAnsi="Times New Roman" w:cs="Times New Roman"/>
                <w:sz w:val="24"/>
                <w:szCs w:val="24"/>
              </w:rPr>
              <w:t>&gt;</w:t>
            </w:r>
            <w:r w:rsidR="006F57AF" w:rsidRPr="00890F61">
              <w:rPr>
                <w:rFonts w:ascii="Times New Roman" w:eastAsia="宋体" w:hAnsi="Times New Roman" w:cs="Times New Roman"/>
                <w:sz w:val="24"/>
                <w:szCs w:val="24"/>
              </w:rPr>
              <w:t>65</w:t>
            </w:r>
            <w:r w:rsidR="006F57AF" w:rsidRPr="00890F61">
              <w:rPr>
                <w:rFonts w:ascii="Times New Roman" w:eastAsia="宋体" w:hAnsi="Times New Roman" w:cs="Times New Roman"/>
                <w:sz w:val="24"/>
                <w:szCs w:val="24"/>
              </w:rPr>
              <w:t>岁</w:t>
            </w:r>
          </w:p>
          <w:p w:rsidR="007A5BD9" w:rsidRPr="00890F61" w:rsidRDefault="009A72B1">
            <w:pPr>
              <w:spacing w:after="0" w:line="240" w:lineRule="auto"/>
              <w:rPr>
                <w:rFonts w:ascii="Times New Roman" w:eastAsia="宋体" w:hAnsi="Times New Roman" w:cs="Times New Roman"/>
                <w:sz w:val="24"/>
                <w:szCs w:val="24"/>
              </w:rPr>
            </w:pPr>
            <w:r w:rsidRPr="00890F61">
              <w:rPr>
                <w:rFonts w:ascii="Times New Roman" w:eastAsia="宋体" w:hAnsi="Times New Roman" w:cs="Times New Roman"/>
                <w:sz w:val="24"/>
                <w:szCs w:val="24"/>
              </w:rPr>
              <w:t>2.</w:t>
            </w:r>
            <w:r w:rsidR="006F57AF" w:rsidRPr="00890F61">
              <w:rPr>
                <w:rFonts w:ascii="Times New Roman" w:eastAsia="宋体" w:hAnsi="Times New Roman" w:cs="Times New Roman"/>
                <w:sz w:val="24"/>
                <w:szCs w:val="24"/>
              </w:rPr>
              <w:t>采用高剂量</w:t>
            </w:r>
            <w:r w:rsidR="006F57AF" w:rsidRPr="00890F61">
              <w:rPr>
                <w:rFonts w:ascii="Times New Roman" w:eastAsia="宋体" w:hAnsi="Times New Roman" w:cs="Times New Roman"/>
                <w:sz w:val="24"/>
                <w:szCs w:val="24"/>
              </w:rPr>
              <w:t>NSAID</w:t>
            </w:r>
            <w:r w:rsidR="006F57AF" w:rsidRPr="00890F61">
              <w:rPr>
                <w:rFonts w:ascii="Times New Roman" w:eastAsia="宋体" w:hAnsi="Times New Roman" w:cs="Times New Roman"/>
                <w:sz w:val="24"/>
                <w:szCs w:val="24"/>
              </w:rPr>
              <w:t>和阿司匹林治疗，或联用两种以上的</w:t>
            </w:r>
            <w:r w:rsidR="006F57AF" w:rsidRPr="00890F61">
              <w:rPr>
                <w:rFonts w:ascii="Times New Roman" w:eastAsia="宋体" w:hAnsi="Times New Roman" w:cs="Times New Roman"/>
                <w:sz w:val="24"/>
                <w:szCs w:val="24"/>
              </w:rPr>
              <w:t>NSAID</w:t>
            </w:r>
          </w:p>
          <w:p w:rsidR="007A5BD9" w:rsidRPr="00890F61" w:rsidRDefault="009A72B1">
            <w:pPr>
              <w:spacing w:after="0" w:line="240" w:lineRule="auto"/>
              <w:rPr>
                <w:rFonts w:ascii="Times New Roman" w:eastAsia="宋体" w:hAnsi="Times New Roman" w:cs="Times New Roman"/>
                <w:sz w:val="24"/>
                <w:szCs w:val="24"/>
              </w:rPr>
            </w:pPr>
            <w:r w:rsidRPr="00890F61">
              <w:rPr>
                <w:rFonts w:ascii="Times New Roman" w:eastAsia="宋体" w:hAnsi="Times New Roman" w:cs="Times New Roman"/>
                <w:sz w:val="24"/>
                <w:szCs w:val="24"/>
              </w:rPr>
              <w:t>3.</w:t>
            </w:r>
            <w:r w:rsidR="006F57AF" w:rsidRPr="00890F61">
              <w:rPr>
                <w:rFonts w:ascii="Times New Roman" w:eastAsia="宋体" w:hAnsi="Times New Roman" w:cs="Times New Roman"/>
                <w:sz w:val="24"/>
                <w:szCs w:val="24"/>
              </w:rPr>
              <w:t>有溃疡病史但无并发症</w:t>
            </w:r>
          </w:p>
          <w:p w:rsidR="007A5BD9" w:rsidRPr="00890F61" w:rsidRDefault="009A72B1">
            <w:pPr>
              <w:spacing w:after="0" w:line="240" w:lineRule="auto"/>
              <w:rPr>
                <w:rFonts w:ascii="Times New Roman" w:eastAsia="宋体" w:hAnsi="Times New Roman" w:cs="Times New Roman"/>
                <w:sz w:val="24"/>
                <w:szCs w:val="24"/>
              </w:rPr>
            </w:pPr>
            <w:r w:rsidRPr="00890F61">
              <w:rPr>
                <w:rFonts w:ascii="Times New Roman" w:eastAsia="宋体" w:hAnsi="Times New Roman" w:cs="Times New Roman"/>
                <w:sz w:val="24"/>
                <w:szCs w:val="24"/>
              </w:rPr>
              <w:t>4.</w:t>
            </w:r>
            <w:r w:rsidR="006F57AF" w:rsidRPr="00890F61">
              <w:rPr>
                <w:rFonts w:ascii="Times New Roman" w:eastAsia="宋体" w:hAnsi="Times New Roman" w:cs="Times New Roman"/>
                <w:sz w:val="24"/>
                <w:szCs w:val="24"/>
              </w:rPr>
              <w:t>合并应用</w:t>
            </w:r>
            <w:r w:rsidR="006F57AF" w:rsidRPr="00890F61">
              <w:rPr>
                <w:rFonts w:ascii="Times New Roman" w:eastAsia="宋体" w:hAnsi="Times New Roman" w:cs="Times New Roman"/>
                <w:sz w:val="24"/>
                <w:szCs w:val="24"/>
              </w:rPr>
              <w:t>NSAID</w:t>
            </w:r>
            <w:r w:rsidR="006F57AF" w:rsidRPr="00890F61">
              <w:rPr>
                <w:rFonts w:ascii="Times New Roman" w:eastAsia="宋体" w:hAnsi="Times New Roman" w:cs="Times New Roman"/>
                <w:sz w:val="24"/>
                <w:szCs w:val="24"/>
              </w:rPr>
              <w:t>和阿司匹林、糖皮质激素或抗凝剂</w:t>
            </w:r>
          </w:p>
        </w:tc>
        <w:tc>
          <w:tcPr>
            <w:tcW w:w="3685" w:type="dxa"/>
            <w:tcBorders>
              <w:top w:val="dashed" w:sz="4" w:space="0" w:color="auto"/>
              <w:bottom w:val="dashed" w:sz="4" w:space="0" w:color="auto"/>
            </w:tcBorders>
          </w:tcPr>
          <w:p w:rsidR="007A5BD9" w:rsidRPr="00890F61" w:rsidRDefault="006F57AF">
            <w:pPr>
              <w:spacing w:after="0" w:line="240" w:lineRule="auto"/>
              <w:rPr>
                <w:rFonts w:ascii="Times New Roman" w:eastAsia="宋体" w:hAnsi="Times New Roman" w:cs="Times New Roman"/>
                <w:sz w:val="24"/>
                <w:szCs w:val="24"/>
              </w:rPr>
            </w:pPr>
            <w:r w:rsidRPr="00890F61">
              <w:rPr>
                <w:rFonts w:ascii="Times New Roman" w:eastAsia="宋体" w:hAnsi="Times New Roman" w:cs="Times New Roman"/>
                <w:sz w:val="24"/>
                <w:szCs w:val="24"/>
              </w:rPr>
              <w:t>单独选用选择性</w:t>
            </w:r>
            <w:r w:rsidRPr="00890F61">
              <w:rPr>
                <w:rFonts w:ascii="Times New Roman" w:eastAsia="宋体" w:hAnsi="Times New Roman" w:cs="Times New Roman"/>
                <w:sz w:val="24"/>
                <w:szCs w:val="24"/>
              </w:rPr>
              <w:t>COX-2</w:t>
            </w:r>
            <w:r w:rsidRPr="00890F61">
              <w:rPr>
                <w:rFonts w:ascii="Times New Roman" w:eastAsia="宋体" w:hAnsi="Times New Roman" w:cs="Times New Roman"/>
                <w:sz w:val="24"/>
                <w:szCs w:val="24"/>
              </w:rPr>
              <w:t>抑制剂，或非选择性</w:t>
            </w:r>
            <w:r w:rsidRPr="00890F61">
              <w:rPr>
                <w:rFonts w:ascii="Times New Roman" w:eastAsia="宋体" w:hAnsi="Times New Roman" w:cs="Times New Roman"/>
                <w:sz w:val="24"/>
                <w:szCs w:val="24"/>
              </w:rPr>
              <w:t>NSAIDs</w:t>
            </w:r>
            <w:r w:rsidRPr="00890F61">
              <w:rPr>
                <w:rFonts w:ascii="Times New Roman" w:eastAsia="宋体" w:hAnsi="Times New Roman" w:cs="Times New Roman"/>
                <w:sz w:val="24"/>
                <w:szCs w:val="24"/>
              </w:rPr>
              <w:t>＋</w:t>
            </w:r>
            <w:r w:rsidRPr="00890F61">
              <w:rPr>
                <w:rFonts w:ascii="Times New Roman" w:eastAsia="宋体" w:hAnsi="Times New Roman" w:cs="Times New Roman"/>
                <w:sz w:val="24"/>
                <w:szCs w:val="24"/>
              </w:rPr>
              <w:t>PPI</w:t>
            </w:r>
          </w:p>
        </w:tc>
      </w:tr>
      <w:tr w:rsidR="007A5BD9" w:rsidRPr="009A72B1" w:rsidTr="009A72B1">
        <w:tc>
          <w:tcPr>
            <w:tcW w:w="1526" w:type="dxa"/>
            <w:tcBorders>
              <w:top w:val="dashed" w:sz="4" w:space="0" w:color="auto"/>
            </w:tcBorders>
          </w:tcPr>
          <w:p w:rsidR="007A5BD9" w:rsidRPr="00890F61" w:rsidRDefault="006F57AF">
            <w:pPr>
              <w:spacing w:after="0" w:line="240" w:lineRule="auto"/>
              <w:rPr>
                <w:rFonts w:ascii="Times New Roman" w:eastAsia="宋体" w:hAnsi="Times New Roman" w:cs="Times New Roman"/>
                <w:sz w:val="24"/>
                <w:szCs w:val="24"/>
              </w:rPr>
            </w:pPr>
            <w:r w:rsidRPr="00890F61">
              <w:rPr>
                <w:rFonts w:ascii="Times New Roman" w:eastAsia="宋体" w:hAnsi="Times New Roman" w:cs="Times New Roman"/>
                <w:sz w:val="24"/>
                <w:szCs w:val="24"/>
              </w:rPr>
              <w:t>低风险</w:t>
            </w:r>
          </w:p>
        </w:tc>
        <w:tc>
          <w:tcPr>
            <w:tcW w:w="3969" w:type="dxa"/>
            <w:tcBorders>
              <w:top w:val="dashed" w:sz="4" w:space="0" w:color="auto"/>
            </w:tcBorders>
          </w:tcPr>
          <w:p w:rsidR="007A5BD9" w:rsidRPr="00890F61" w:rsidRDefault="006F57AF">
            <w:pPr>
              <w:spacing w:after="0" w:line="240" w:lineRule="auto"/>
              <w:rPr>
                <w:rFonts w:ascii="Times New Roman" w:eastAsia="宋体" w:hAnsi="Times New Roman" w:cs="Times New Roman"/>
                <w:sz w:val="24"/>
                <w:szCs w:val="24"/>
              </w:rPr>
            </w:pPr>
            <w:r w:rsidRPr="00890F61">
              <w:rPr>
                <w:rFonts w:ascii="Times New Roman" w:eastAsia="宋体" w:hAnsi="Times New Roman" w:cs="Times New Roman"/>
                <w:sz w:val="24"/>
                <w:szCs w:val="24"/>
              </w:rPr>
              <w:t>无危险因素</w:t>
            </w:r>
          </w:p>
        </w:tc>
        <w:tc>
          <w:tcPr>
            <w:tcW w:w="3685" w:type="dxa"/>
            <w:tcBorders>
              <w:top w:val="dashed" w:sz="4" w:space="0" w:color="auto"/>
            </w:tcBorders>
          </w:tcPr>
          <w:p w:rsidR="007A5BD9" w:rsidRPr="00890F61" w:rsidRDefault="006F57AF">
            <w:pPr>
              <w:spacing w:after="0" w:line="240" w:lineRule="auto"/>
              <w:rPr>
                <w:rFonts w:ascii="Times New Roman" w:eastAsia="宋体" w:hAnsi="Times New Roman" w:cs="Times New Roman"/>
                <w:sz w:val="24"/>
                <w:szCs w:val="24"/>
              </w:rPr>
            </w:pPr>
            <w:r w:rsidRPr="00890F61">
              <w:rPr>
                <w:rFonts w:ascii="Times New Roman" w:eastAsia="宋体" w:hAnsi="Times New Roman" w:cs="Times New Roman"/>
                <w:sz w:val="24"/>
                <w:szCs w:val="24"/>
              </w:rPr>
              <w:t>可以应用非选择性</w:t>
            </w:r>
            <w:r w:rsidRPr="00890F61">
              <w:rPr>
                <w:rFonts w:ascii="Times New Roman" w:eastAsia="宋体" w:hAnsi="Times New Roman" w:cs="Times New Roman"/>
                <w:sz w:val="24"/>
                <w:szCs w:val="24"/>
              </w:rPr>
              <w:t>NSAIDs</w:t>
            </w:r>
          </w:p>
        </w:tc>
      </w:tr>
      <w:bookmarkEnd w:id="4"/>
    </w:tbl>
    <w:p w:rsidR="007A5BD9" w:rsidRDefault="007A5BD9">
      <w:pPr>
        <w:spacing w:after="0" w:line="240" w:lineRule="auto"/>
        <w:rPr>
          <w:rFonts w:ascii="微软雅黑" w:eastAsia="微软雅黑" w:hAnsi="微软雅黑"/>
          <w:b/>
        </w:rPr>
      </w:pPr>
    </w:p>
    <w:p w:rsidR="007A5BD9" w:rsidRPr="009A72B1" w:rsidRDefault="009A72B1" w:rsidP="00703EA2">
      <w:pPr>
        <w:spacing w:after="0" w:line="276" w:lineRule="auto"/>
        <w:jc w:val="both"/>
        <w:rPr>
          <w:rFonts w:ascii="Times New Roman" w:eastAsia="宋体" w:hAnsi="Times New Roman" w:cs="Times New Roman"/>
          <w:sz w:val="24"/>
          <w:szCs w:val="24"/>
        </w:rPr>
      </w:pPr>
      <w:r w:rsidRPr="009A72B1">
        <w:rPr>
          <w:rFonts w:ascii="黑体" w:eastAsia="黑体" w:hAnsi="黑体" w:cs="Times New Roman" w:hint="eastAsia"/>
          <w:sz w:val="24"/>
        </w:rPr>
        <w:t>2.2.2</w:t>
      </w:r>
      <w:r w:rsidR="003573E7">
        <w:rPr>
          <w:rFonts w:ascii="黑体" w:eastAsia="黑体" w:hAnsi="黑体" w:cs="Times New Roman" w:hint="eastAsia"/>
          <w:sz w:val="24"/>
        </w:rPr>
        <w:t xml:space="preserve">  </w:t>
      </w:r>
      <w:r w:rsidR="006F57AF" w:rsidRPr="009A72B1">
        <w:rPr>
          <w:rFonts w:ascii="Times New Roman" w:eastAsia="宋体" w:hAnsi="Times New Roman" w:cs="Times New Roman"/>
          <w:sz w:val="24"/>
          <w:szCs w:val="24"/>
        </w:rPr>
        <w:t>预防抗血小板药物消化道损伤</w:t>
      </w:r>
      <w:r w:rsidR="003573E7">
        <w:rPr>
          <w:rFonts w:ascii="Times New Roman" w:eastAsia="宋体" w:hAnsi="Times New Roman" w:cs="Times New Roman" w:hint="eastAsia"/>
          <w:sz w:val="24"/>
          <w:szCs w:val="24"/>
        </w:rPr>
        <w:t xml:space="preserve">  </w:t>
      </w:r>
      <w:r w:rsidR="006F57AF" w:rsidRPr="009A72B1">
        <w:rPr>
          <w:rFonts w:ascii="Times New Roman" w:eastAsia="宋体" w:hAnsi="Times New Roman" w:cs="Times New Roman"/>
          <w:sz w:val="24"/>
          <w:szCs w:val="24"/>
        </w:rPr>
        <w:t>心脑血管疾病是致死致残的最常见原因，抗血小板治疗能够显著减少心脑血管事件，尤其对于急性冠脉综合</w:t>
      </w:r>
      <w:r>
        <w:rPr>
          <w:rFonts w:ascii="Times New Roman" w:eastAsia="宋体" w:hAnsi="Times New Roman" w:cs="Times New Roman" w:hint="eastAsia"/>
          <w:sz w:val="24"/>
          <w:szCs w:val="24"/>
        </w:rPr>
        <w:t>征</w:t>
      </w:r>
      <w:r w:rsidR="006F57AF" w:rsidRPr="009A72B1">
        <w:rPr>
          <w:rFonts w:ascii="Times New Roman" w:eastAsia="宋体" w:hAnsi="Times New Roman" w:cs="Times New Roman"/>
          <w:sz w:val="24"/>
          <w:szCs w:val="24"/>
        </w:rPr>
        <w:t>（</w:t>
      </w:r>
      <w:r w:rsidR="006F57AF" w:rsidRPr="009A72B1">
        <w:rPr>
          <w:rFonts w:ascii="Times New Roman" w:eastAsia="宋体" w:hAnsi="Times New Roman" w:cs="Times New Roman"/>
          <w:sz w:val="24"/>
          <w:szCs w:val="24"/>
        </w:rPr>
        <w:t>ACS</w:t>
      </w:r>
      <w:r w:rsidR="006F57AF" w:rsidRPr="009A72B1">
        <w:rPr>
          <w:rFonts w:ascii="Times New Roman" w:eastAsia="宋体" w:hAnsi="Times New Roman" w:cs="Times New Roman"/>
          <w:sz w:val="24"/>
          <w:szCs w:val="24"/>
        </w:rPr>
        <w:t>）和支架植入术后患者。但抗血小板药物同时也会显著增加消化道出血发生率，尤其双联抗血小板治疗（</w:t>
      </w:r>
      <w:r w:rsidR="006F57AF" w:rsidRPr="009A72B1">
        <w:rPr>
          <w:rFonts w:ascii="Times New Roman" w:eastAsia="宋体" w:hAnsi="Times New Roman" w:cs="Times New Roman"/>
          <w:sz w:val="24"/>
          <w:szCs w:val="24"/>
        </w:rPr>
        <w:t>DAPT</w:t>
      </w:r>
      <w:r w:rsidR="006F57AF" w:rsidRPr="009A72B1">
        <w:rPr>
          <w:rFonts w:ascii="Times New Roman" w:eastAsia="宋体" w:hAnsi="Times New Roman" w:cs="Times New Roman"/>
          <w:sz w:val="24"/>
          <w:szCs w:val="24"/>
        </w:rPr>
        <w:t>）和联合抗凝治疗时</w:t>
      </w:r>
      <w:r w:rsidR="006F57AF" w:rsidRPr="009A72B1">
        <w:rPr>
          <w:rFonts w:ascii="Times New Roman" w:eastAsia="宋体" w:hAnsi="Times New Roman" w:cs="Times New Roman"/>
          <w:sz w:val="24"/>
          <w:szCs w:val="24"/>
          <w:vertAlign w:val="superscript"/>
        </w:rPr>
        <w:t>[24-25]</w:t>
      </w:r>
      <w:r w:rsidR="006F57AF" w:rsidRPr="009A72B1">
        <w:rPr>
          <w:rFonts w:ascii="Times New Roman" w:eastAsia="宋体" w:hAnsi="Times New Roman" w:cs="Times New Roman"/>
          <w:sz w:val="24"/>
          <w:szCs w:val="24"/>
        </w:rPr>
        <w:t>。消化道出血会增加心血管不良事件和死亡率</w:t>
      </w:r>
      <w:r w:rsidR="006F57AF" w:rsidRPr="009A72B1">
        <w:rPr>
          <w:rFonts w:ascii="Times New Roman" w:eastAsia="宋体" w:hAnsi="Times New Roman" w:cs="Times New Roman"/>
          <w:sz w:val="24"/>
          <w:szCs w:val="24"/>
          <w:vertAlign w:val="superscript"/>
        </w:rPr>
        <w:t>[26]</w:t>
      </w:r>
      <w:r w:rsidR="006F57AF" w:rsidRPr="009A72B1">
        <w:rPr>
          <w:rFonts w:ascii="Times New Roman" w:eastAsia="宋体" w:hAnsi="Times New Roman" w:cs="Times New Roman"/>
          <w:sz w:val="24"/>
          <w:szCs w:val="24"/>
        </w:rPr>
        <w:t>，预防消化道损伤及出血对长期应用抗血小板药物患者至关重要。高质量</w:t>
      </w:r>
      <w:r w:rsidR="006F57AF" w:rsidRPr="009A72B1">
        <w:rPr>
          <w:rFonts w:ascii="Times New Roman" w:eastAsia="宋体" w:hAnsi="Times New Roman" w:cs="Times New Roman"/>
          <w:sz w:val="24"/>
          <w:szCs w:val="24"/>
        </w:rPr>
        <w:t>RCTs</w:t>
      </w:r>
      <w:r w:rsidR="00890F61">
        <w:rPr>
          <w:rFonts w:ascii="Times New Roman" w:eastAsia="宋体" w:hAnsi="Times New Roman" w:cs="Times New Roman" w:hint="eastAsia"/>
          <w:sz w:val="24"/>
          <w:szCs w:val="24"/>
        </w:rPr>
        <w:t xml:space="preserve"> </w:t>
      </w:r>
      <w:r w:rsidR="006F57AF" w:rsidRPr="009A72B1">
        <w:rPr>
          <w:rFonts w:ascii="Times New Roman" w:eastAsia="宋体" w:hAnsi="Times New Roman" w:cs="Times New Roman"/>
          <w:sz w:val="24"/>
          <w:szCs w:val="24"/>
        </w:rPr>
        <w:t>研究证实</w:t>
      </w:r>
      <w:r w:rsidR="006F57AF" w:rsidRPr="009A72B1">
        <w:rPr>
          <w:rFonts w:ascii="Times New Roman" w:eastAsia="宋体" w:hAnsi="Times New Roman" w:cs="Times New Roman"/>
          <w:sz w:val="24"/>
          <w:szCs w:val="24"/>
          <w:vertAlign w:val="superscript"/>
        </w:rPr>
        <w:t>[27-28]</w:t>
      </w:r>
      <w:r w:rsidR="003573E7" w:rsidRPr="003573E7">
        <w:rPr>
          <w:rFonts w:ascii="Times New Roman" w:eastAsia="宋体" w:hAnsi="Times New Roman" w:cs="Times New Roman" w:hint="eastAsia"/>
          <w:sz w:val="24"/>
          <w:szCs w:val="24"/>
        </w:rPr>
        <w:t>，</w:t>
      </w:r>
      <w:r w:rsidR="006F57AF" w:rsidRPr="009A72B1">
        <w:rPr>
          <w:rFonts w:ascii="Times New Roman" w:eastAsia="宋体" w:hAnsi="Times New Roman" w:cs="Times New Roman"/>
          <w:sz w:val="24"/>
          <w:szCs w:val="24"/>
        </w:rPr>
        <w:t>PPI</w:t>
      </w:r>
      <w:r w:rsidR="006F57AF" w:rsidRPr="009A72B1">
        <w:rPr>
          <w:rFonts w:ascii="Times New Roman" w:eastAsia="宋体" w:hAnsi="Times New Roman" w:cs="Times New Roman"/>
          <w:sz w:val="24"/>
          <w:szCs w:val="24"/>
        </w:rPr>
        <w:t>能显著降低抗血小板药物致上消化道出血的发生率，临床应基于患者出血风险给予预防。</w:t>
      </w:r>
    </w:p>
    <w:p w:rsidR="009E6E5E" w:rsidRDefault="006F57AF" w:rsidP="00703EA2">
      <w:pPr>
        <w:spacing w:after="0" w:line="276" w:lineRule="auto"/>
        <w:ind w:firstLineChars="196" w:firstLine="472"/>
        <w:jc w:val="both"/>
        <w:rPr>
          <w:rFonts w:ascii="Times New Roman" w:eastAsia="宋体" w:hAnsi="Times New Roman" w:cs="Times New Roman"/>
          <w:color w:val="000000" w:themeColor="text1"/>
          <w:sz w:val="24"/>
          <w:szCs w:val="24"/>
        </w:rPr>
      </w:pPr>
      <w:r w:rsidRPr="009A72B1">
        <w:rPr>
          <w:rFonts w:ascii="Times New Roman" w:eastAsia="宋体" w:hAnsi="Times New Roman" w:cs="Times New Roman"/>
          <w:b/>
          <w:sz w:val="24"/>
          <w:szCs w:val="24"/>
        </w:rPr>
        <w:t>预防性用药指征</w:t>
      </w:r>
      <w:r w:rsidR="009A72B1">
        <w:rPr>
          <w:rFonts w:ascii="Times New Roman" w:eastAsia="宋体" w:hAnsi="Times New Roman" w:cs="Times New Roman" w:hint="eastAsia"/>
          <w:b/>
          <w:sz w:val="24"/>
          <w:szCs w:val="24"/>
        </w:rPr>
        <w:t>：</w:t>
      </w:r>
      <w:r w:rsidRPr="009A72B1">
        <w:rPr>
          <w:rFonts w:ascii="Times New Roman" w:eastAsia="宋体" w:hAnsi="Times New Roman" w:cs="Times New Roman"/>
          <w:color w:val="000000" w:themeColor="text1"/>
          <w:sz w:val="24"/>
          <w:szCs w:val="24"/>
        </w:rPr>
        <w:t>抗血小板药物消化道损伤风险及具体预防建议见表</w:t>
      </w:r>
      <w:r w:rsidRPr="009A72B1">
        <w:rPr>
          <w:rFonts w:ascii="Times New Roman" w:eastAsia="宋体" w:hAnsi="Times New Roman" w:cs="Times New Roman"/>
          <w:color w:val="000000" w:themeColor="text1"/>
          <w:sz w:val="24"/>
          <w:szCs w:val="24"/>
        </w:rPr>
        <w:t>4</w:t>
      </w:r>
      <w:r w:rsidRPr="009A72B1">
        <w:rPr>
          <w:rFonts w:ascii="Times New Roman" w:eastAsia="宋体" w:hAnsi="Times New Roman" w:cs="Times New Roman"/>
          <w:color w:val="000000" w:themeColor="text1"/>
          <w:sz w:val="24"/>
          <w:szCs w:val="24"/>
        </w:rPr>
        <w:t>。</w:t>
      </w:r>
      <w:r w:rsidRPr="009A72B1">
        <w:rPr>
          <w:rFonts w:ascii="Times New Roman" w:eastAsia="宋体" w:hAnsi="Times New Roman" w:cs="Times New Roman"/>
          <w:color w:val="000000" w:themeColor="text1"/>
          <w:sz w:val="24"/>
          <w:szCs w:val="24"/>
        </w:rPr>
        <w:t xml:space="preserve"> </w:t>
      </w:r>
    </w:p>
    <w:p w:rsidR="007A5BD9" w:rsidRDefault="009E6E5E" w:rsidP="00703EA2">
      <w:pPr>
        <w:spacing w:after="0" w:line="276" w:lineRule="auto"/>
        <w:ind w:firstLineChars="196" w:firstLine="472"/>
        <w:jc w:val="both"/>
        <w:rPr>
          <w:rFonts w:ascii="Times New Roman" w:eastAsia="宋体" w:hAnsi="Times New Roman" w:cs="Times New Roman"/>
          <w:color w:val="000000" w:themeColor="text1"/>
          <w:sz w:val="24"/>
          <w:szCs w:val="24"/>
        </w:rPr>
      </w:pPr>
      <w:r w:rsidRPr="009A72B1">
        <w:rPr>
          <w:rFonts w:ascii="Times New Roman" w:eastAsia="宋体" w:hAnsi="Times New Roman" w:cs="Times New Roman"/>
          <w:b/>
          <w:color w:val="000000" w:themeColor="text1"/>
          <w:sz w:val="24"/>
          <w:szCs w:val="24"/>
        </w:rPr>
        <w:t>用药建议</w:t>
      </w:r>
      <w:r>
        <w:rPr>
          <w:rFonts w:ascii="Times New Roman" w:eastAsia="宋体" w:hAnsi="Times New Roman" w:cs="Times New Roman" w:hint="eastAsia"/>
          <w:b/>
          <w:color w:val="000000" w:themeColor="text1"/>
          <w:sz w:val="24"/>
          <w:szCs w:val="24"/>
        </w:rPr>
        <w:t>：</w:t>
      </w:r>
      <w:r w:rsidRPr="009A72B1">
        <w:rPr>
          <w:rFonts w:ascii="Times New Roman" w:eastAsia="宋体" w:hAnsi="Times New Roman" w:cs="Times New Roman"/>
          <w:color w:val="000000" w:themeColor="text1"/>
          <w:sz w:val="24"/>
          <w:szCs w:val="24"/>
        </w:rPr>
        <w:t>服用抗血小板药物</w:t>
      </w:r>
      <w:r w:rsidRPr="009A72B1">
        <w:rPr>
          <w:rFonts w:ascii="Times New Roman" w:eastAsia="宋体" w:hAnsi="Times New Roman" w:cs="Times New Roman"/>
          <w:color w:val="000000" w:themeColor="text1"/>
          <w:sz w:val="24"/>
          <w:szCs w:val="24"/>
        </w:rPr>
        <w:t>12</w:t>
      </w:r>
      <w:r w:rsidRPr="009A72B1">
        <w:rPr>
          <w:rFonts w:ascii="Times New Roman" w:eastAsia="宋体" w:hAnsi="Times New Roman" w:cs="Times New Roman"/>
          <w:color w:val="000000" w:themeColor="text1"/>
          <w:sz w:val="24"/>
          <w:szCs w:val="24"/>
        </w:rPr>
        <w:t>个月内为消化道损伤的多发阶段，</w:t>
      </w:r>
      <w:r w:rsidRPr="009A72B1">
        <w:rPr>
          <w:rFonts w:ascii="Times New Roman" w:eastAsia="宋体" w:hAnsi="Times New Roman" w:cs="Times New Roman"/>
          <w:color w:val="000000" w:themeColor="text1"/>
          <w:sz w:val="24"/>
          <w:szCs w:val="24"/>
        </w:rPr>
        <w:t>3</w:t>
      </w:r>
      <w:r w:rsidRPr="009A72B1">
        <w:rPr>
          <w:rFonts w:ascii="Times New Roman" w:eastAsia="宋体" w:hAnsi="Times New Roman" w:cs="Times New Roman"/>
          <w:color w:val="000000" w:themeColor="text1"/>
          <w:sz w:val="24"/>
          <w:szCs w:val="24"/>
        </w:rPr>
        <w:t>个月时达高峰</w:t>
      </w:r>
      <w:r w:rsidRPr="009A72B1">
        <w:rPr>
          <w:rFonts w:ascii="Times New Roman" w:eastAsia="宋体" w:hAnsi="Times New Roman" w:cs="Times New Roman"/>
          <w:color w:val="000000" w:themeColor="text1"/>
          <w:sz w:val="24"/>
          <w:szCs w:val="24"/>
          <w:vertAlign w:val="superscript"/>
        </w:rPr>
        <w:t>[37-38]</w:t>
      </w:r>
      <w:r w:rsidRPr="009A72B1">
        <w:rPr>
          <w:rFonts w:ascii="Times New Roman" w:eastAsia="宋体" w:hAnsi="Times New Roman" w:cs="Times New Roman"/>
          <w:color w:val="000000" w:themeColor="text1"/>
          <w:sz w:val="24"/>
          <w:szCs w:val="24"/>
        </w:rPr>
        <w:t>。具有消化道损伤危险因素的患者在初始抗血小板药物治疗的前</w:t>
      </w:r>
      <w:r w:rsidRPr="009A72B1">
        <w:rPr>
          <w:rFonts w:ascii="Times New Roman" w:eastAsia="宋体" w:hAnsi="Times New Roman" w:cs="Times New Roman"/>
          <w:color w:val="000000" w:themeColor="text1"/>
          <w:sz w:val="24"/>
          <w:szCs w:val="24"/>
        </w:rPr>
        <w:t>6</w:t>
      </w:r>
      <w:r w:rsidRPr="009A72B1">
        <w:rPr>
          <w:rFonts w:ascii="Times New Roman" w:eastAsia="宋体" w:hAnsi="Times New Roman" w:cs="Times New Roman"/>
          <w:color w:val="000000" w:themeColor="text1"/>
          <w:sz w:val="24"/>
          <w:szCs w:val="24"/>
        </w:rPr>
        <w:t>个月应联合使用常规剂量</w:t>
      </w:r>
      <w:r w:rsidRPr="009A72B1">
        <w:rPr>
          <w:rFonts w:ascii="Times New Roman" w:eastAsia="宋体" w:hAnsi="Times New Roman" w:cs="Times New Roman"/>
          <w:color w:val="000000" w:themeColor="text1"/>
          <w:sz w:val="24"/>
          <w:szCs w:val="24"/>
        </w:rPr>
        <w:t>PPI</w:t>
      </w:r>
      <w:r w:rsidRPr="009A72B1">
        <w:rPr>
          <w:rFonts w:ascii="Times New Roman" w:eastAsia="宋体" w:hAnsi="Times New Roman" w:cs="Times New Roman"/>
          <w:color w:val="000000" w:themeColor="text1"/>
          <w:sz w:val="24"/>
          <w:szCs w:val="24"/>
        </w:rPr>
        <w:t>，</w:t>
      </w:r>
      <w:r w:rsidRPr="009A72B1">
        <w:rPr>
          <w:rFonts w:ascii="Times New Roman" w:eastAsia="宋体" w:hAnsi="Times New Roman" w:cs="Times New Roman"/>
          <w:color w:val="000000" w:themeColor="text1"/>
          <w:sz w:val="24"/>
          <w:szCs w:val="24"/>
        </w:rPr>
        <w:t>6</w:t>
      </w:r>
      <w:r w:rsidRPr="009A72B1">
        <w:rPr>
          <w:rFonts w:ascii="Times New Roman" w:eastAsia="宋体" w:hAnsi="Times New Roman" w:cs="Times New Roman"/>
          <w:color w:val="000000" w:themeColor="text1"/>
          <w:sz w:val="24"/>
          <w:szCs w:val="24"/>
        </w:rPr>
        <w:t>个月后可改为隔天服用</w:t>
      </w:r>
      <w:r w:rsidRPr="009A72B1">
        <w:rPr>
          <w:rFonts w:ascii="Times New Roman" w:eastAsia="宋体" w:hAnsi="Times New Roman" w:cs="Times New Roman"/>
          <w:color w:val="000000" w:themeColor="text1"/>
          <w:sz w:val="24"/>
          <w:szCs w:val="24"/>
        </w:rPr>
        <w:t>PPI</w:t>
      </w:r>
      <w:r w:rsidRPr="009A72B1">
        <w:rPr>
          <w:rFonts w:ascii="Times New Roman" w:eastAsia="宋体" w:hAnsi="Times New Roman" w:cs="Times New Roman"/>
          <w:color w:val="000000" w:themeColor="text1"/>
          <w:sz w:val="24"/>
          <w:szCs w:val="24"/>
        </w:rPr>
        <w:t>或</w:t>
      </w:r>
      <w:r w:rsidRPr="009A72B1">
        <w:rPr>
          <w:rFonts w:ascii="Times New Roman" w:eastAsia="宋体" w:hAnsi="Times New Roman" w:cs="Times New Roman"/>
          <w:color w:val="000000" w:themeColor="text1"/>
          <w:sz w:val="24"/>
          <w:szCs w:val="24"/>
        </w:rPr>
        <w:t>H</w:t>
      </w:r>
      <w:r w:rsidRPr="009A72B1">
        <w:rPr>
          <w:rFonts w:ascii="Times New Roman" w:eastAsia="宋体" w:hAnsi="Times New Roman" w:cs="Times New Roman"/>
          <w:color w:val="000000" w:themeColor="text1"/>
          <w:sz w:val="24"/>
          <w:szCs w:val="24"/>
          <w:vertAlign w:val="subscript"/>
        </w:rPr>
        <w:t>2</w:t>
      </w:r>
      <w:r w:rsidRPr="009A72B1">
        <w:rPr>
          <w:rFonts w:ascii="Times New Roman" w:eastAsia="宋体" w:hAnsi="Times New Roman" w:cs="Times New Roman"/>
          <w:color w:val="000000" w:themeColor="text1"/>
          <w:sz w:val="24"/>
          <w:szCs w:val="24"/>
        </w:rPr>
        <w:t>RA</w:t>
      </w:r>
      <w:r w:rsidRPr="009A72B1">
        <w:rPr>
          <w:rFonts w:ascii="Times New Roman" w:eastAsia="宋体" w:hAnsi="Times New Roman" w:cs="Times New Roman"/>
          <w:sz w:val="24"/>
          <w:szCs w:val="24"/>
          <w:vertAlign w:val="superscript"/>
        </w:rPr>
        <w:t>[39]</w:t>
      </w:r>
      <w:r w:rsidRPr="009A72B1">
        <w:rPr>
          <w:rFonts w:ascii="Times New Roman" w:eastAsia="宋体" w:hAnsi="Times New Roman" w:cs="Times New Roman"/>
          <w:color w:val="000000" w:themeColor="text1"/>
          <w:sz w:val="24"/>
          <w:szCs w:val="24"/>
        </w:rPr>
        <w:t>。</w:t>
      </w:r>
    </w:p>
    <w:p w:rsidR="005947A9" w:rsidRDefault="005947A9" w:rsidP="0019434E">
      <w:pPr>
        <w:spacing w:after="0" w:line="276" w:lineRule="auto"/>
        <w:ind w:firstLineChars="196" w:firstLine="392"/>
        <w:rPr>
          <w:rFonts w:ascii="微软雅黑" w:eastAsia="微软雅黑" w:hAnsi="微软雅黑"/>
          <w:sz w:val="20"/>
        </w:rPr>
      </w:pPr>
    </w:p>
    <w:p w:rsidR="007A5BD9" w:rsidRPr="009E6E5E" w:rsidRDefault="006F57AF" w:rsidP="0019434E">
      <w:pPr>
        <w:spacing w:line="240" w:lineRule="auto"/>
        <w:ind w:left="360"/>
        <w:rPr>
          <w:rFonts w:ascii="Times New Roman" w:eastAsia="黑体" w:hAnsi="Times New Roman" w:cs="Times New Roman"/>
          <w:sz w:val="24"/>
          <w:szCs w:val="24"/>
        </w:rPr>
      </w:pPr>
      <w:bookmarkStart w:id="5" w:name="_Hlk536548174"/>
      <w:r w:rsidRPr="009E6E5E">
        <w:rPr>
          <w:rFonts w:ascii="Times New Roman" w:eastAsia="黑体" w:hAnsi="Times New Roman" w:cs="Times New Roman"/>
          <w:sz w:val="24"/>
          <w:szCs w:val="24"/>
        </w:rPr>
        <w:t>表</w:t>
      </w:r>
      <w:r w:rsidRPr="009E6E5E">
        <w:rPr>
          <w:rFonts w:ascii="Times New Roman" w:eastAsia="黑体" w:hAnsi="Times New Roman" w:cs="Times New Roman"/>
          <w:sz w:val="24"/>
          <w:szCs w:val="24"/>
        </w:rPr>
        <w:t xml:space="preserve">4   </w:t>
      </w:r>
      <w:r w:rsidRPr="009E6E5E">
        <w:rPr>
          <w:rFonts w:ascii="Times New Roman" w:eastAsia="黑体" w:hAnsi="Times New Roman" w:cs="Times New Roman"/>
          <w:sz w:val="24"/>
          <w:szCs w:val="24"/>
        </w:rPr>
        <w:t>抗血小板药物消化道损伤风险及预防建议</w:t>
      </w:r>
      <w:r w:rsidRPr="009E6E5E">
        <w:rPr>
          <w:rFonts w:ascii="Times New Roman" w:eastAsia="黑体" w:hAnsi="Times New Roman" w:cs="Times New Roman"/>
          <w:color w:val="000000" w:themeColor="text1"/>
          <w:sz w:val="24"/>
          <w:szCs w:val="24"/>
          <w:vertAlign w:val="superscript"/>
        </w:rPr>
        <w:t>[29-36]</w:t>
      </w:r>
    </w:p>
    <w:tbl>
      <w:tblPr>
        <w:tblStyle w:val="PlainTable21"/>
        <w:tblW w:w="8330" w:type="dxa"/>
        <w:tblBorders>
          <w:top w:val="single" w:sz="4" w:space="0" w:color="auto"/>
          <w:bottom w:val="single" w:sz="4" w:space="0" w:color="auto"/>
        </w:tblBorders>
        <w:tblLayout w:type="fixed"/>
        <w:tblLook w:val="04A0" w:firstRow="1" w:lastRow="0" w:firstColumn="1" w:lastColumn="0" w:noHBand="0" w:noVBand="1"/>
      </w:tblPr>
      <w:tblGrid>
        <w:gridCol w:w="4923"/>
        <w:gridCol w:w="3407"/>
      </w:tblGrid>
      <w:tr w:rsidR="007A5BD9" w:rsidRPr="009E6E5E" w:rsidTr="00890F61">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923" w:type="dxa"/>
            <w:tcBorders>
              <w:top w:val="single" w:sz="4" w:space="0" w:color="auto"/>
              <w:bottom w:val="single" w:sz="4" w:space="0" w:color="auto"/>
            </w:tcBorders>
          </w:tcPr>
          <w:bookmarkEnd w:id="5"/>
          <w:p w:rsidR="007A5BD9" w:rsidRPr="00890F61" w:rsidRDefault="006F57AF" w:rsidP="009E6E5E">
            <w:pPr>
              <w:spacing w:after="0" w:line="240" w:lineRule="auto"/>
              <w:ind w:left="360"/>
              <w:rPr>
                <w:rFonts w:ascii="Times New Roman" w:eastAsia="宋体" w:hAnsi="Times New Roman" w:cs="Times New Roman"/>
                <w:bCs w:val="0"/>
                <w:sz w:val="24"/>
                <w:szCs w:val="24"/>
              </w:rPr>
            </w:pPr>
            <w:r w:rsidRPr="00890F61">
              <w:rPr>
                <w:rFonts w:ascii="Times New Roman" w:eastAsia="宋体" w:hAnsi="Times New Roman" w:cs="Times New Roman"/>
                <w:sz w:val="24"/>
                <w:szCs w:val="24"/>
              </w:rPr>
              <w:t>危险因素</w:t>
            </w:r>
          </w:p>
        </w:tc>
        <w:tc>
          <w:tcPr>
            <w:tcW w:w="3407" w:type="dxa"/>
            <w:tcBorders>
              <w:top w:val="single" w:sz="4" w:space="0" w:color="auto"/>
              <w:bottom w:val="single" w:sz="4" w:space="0" w:color="auto"/>
            </w:tcBorders>
          </w:tcPr>
          <w:p w:rsidR="007A5BD9" w:rsidRPr="00890F61" w:rsidRDefault="006F57AF" w:rsidP="00890F6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sz w:val="24"/>
                <w:szCs w:val="24"/>
              </w:rPr>
            </w:pPr>
            <w:r w:rsidRPr="00890F61">
              <w:rPr>
                <w:rFonts w:ascii="Times New Roman" w:eastAsia="宋体" w:hAnsi="Times New Roman" w:cs="Times New Roman"/>
                <w:sz w:val="24"/>
                <w:szCs w:val="24"/>
              </w:rPr>
              <w:t>预防建议</w:t>
            </w:r>
          </w:p>
        </w:tc>
      </w:tr>
      <w:tr w:rsidR="007A5BD9" w:rsidRPr="009E6E5E" w:rsidTr="009E6E5E">
        <w:trPr>
          <w:trHeight w:val="416"/>
        </w:trPr>
        <w:tc>
          <w:tcPr>
            <w:cnfStyle w:val="001000000000" w:firstRow="0" w:lastRow="0" w:firstColumn="1" w:lastColumn="0" w:oddVBand="0" w:evenVBand="0" w:oddHBand="0" w:evenHBand="0" w:firstRowFirstColumn="0" w:firstRowLastColumn="0" w:lastRowFirstColumn="0" w:lastRowLastColumn="0"/>
            <w:tcW w:w="4923" w:type="dxa"/>
            <w:tcBorders>
              <w:top w:val="single" w:sz="4" w:space="0" w:color="auto"/>
            </w:tcBorders>
          </w:tcPr>
          <w:p w:rsidR="007A5BD9" w:rsidRPr="009E6E5E" w:rsidRDefault="006F57AF" w:rsidP="0019434E">
            <w:pPr>
              <w:spacing w:after="0" w:line="240" w:lineRule="auto"/>
              <w:ind w:firstLineChars="118" w:firstLine="283"/>
              <w:rPr>
                <w:rFonts w:ascii="Times New Roman" w:eastAsia="宋体" w:hAnsi="Times New Roman" w:cs="Times New Roman"/>
                <w:b w:val="0"/>
                <w:color w:val="FF0000"/>
                <w:sz w:val="24"/>
                <w:szCs w:val="24"/>
              </w:rPr>
            </w:pPr>
            <w:r w:rsidRPr="009E6E5E">
              <w:rPr>
                <w:rFonts w:ascii="Times New Roman" w:eastAsia="宋体" w:hAnsi="Times New Roman" w:cs="Times New Roman"/>
                <w:b w:val="0"/>
                <w:sz w:val="24"/>
                <w:szCs w:val="24"/>
              </w:rPr>
              <w:t>有消化道出血或溃疡病史</w:t>
            </w:r>
          </w:p>
          <w:p w:rsidR="007A5BD9" w:rsidRPr="009E6E5E" w:rsidRDefault="006F57AF" w:rsidP="0019434E">
            <w:pPr>
              <w:spacing w:after="0" w:line="240" w:lineRule="auto"/>
              <w:ind w:firstLineChars="118" w:firstLine="283"/>
              <w:rPr>
                <w:rFonts w:ascii="Times New Roman" w:eastAsia="宋体" w:hAnsi="Times New Roman" w:cs="Times New Roman"/>
                <w:b w:val="0"/>
                <w:sz w:val="24"/>
                <w:szCs w:val="24"/>
              </w:rPr>
            </w:pPr>
            <w:r w:rsidRPr="009E6E5E">
              <w:rPr>
                <w:rFonts w:ascii="Times New Roman" w:eastAsia="宋体" w:hAnsi="Times New Roman" w:cs="Times New Roman"/>
                <w:b w:val="0"/>
                <w:sz w:val="24"/>
                <w:szCs w:val="24"/>
              </w:rPr>
              <w:t>双联抗血小板</w:t>
            </w:r>
          </w:p>
          <w:p w:rsidR="007A5BD9" w:rsidRPr="009E6E5E" w:rsidRDefault="006F57AF" w:rsidP="0019434E">
            <w:pPr>
              <w:spacing w:after="0" w:line="240" w:lineRule="auto"/>
              <w:ind w:firstLineChars="118" w:firstLine="283"/>
              <w:rPr>
                <w:rFonts w:ascii="Times New Roman" w:eastAsia="宋体" w:hAnsi="Times New Roman" w:cs="Times New Roman"/>
                <w:b w:val="0"/>
                <w:sz w:val="24"/>
                <w:szCs w:val="24"/>
              </w:rPr>
            </w:pPr>
            <w:r w:rsidRPr="009E6E5E">
              <w:rPr>
                <w:rFonts w:ascii="Times New Roman" w:eastAsia="宋体" w:hAnsi="Times New Roman" w:cs="Times New Roman"/>
                <w:b w:val="0"/>
                <w:sz w:val="24"/>
                <w:szCs w:val="24"/>
              </w:rPr>
              <w:t>合用抗凝药物</w:t>
            </w:r>
          </w:p>
          <w:p w:rsidR="007A5BD9" w:rsidRPr="009E6E5E" w:rsidRDefault="006F57AF" w:rsidP="0019434E">
            <w:pPr>
              <w:spacing w:after="0" w:line="240" w:lineRule="auto"/>
              <w:ind w:firstLineChars="118" w:firstLine="283"/>
              <w:rPr>
                <w:rFonts w:ascii="Times New Roman" w:eastAsia="宋体" w:hAnsi="Times New Roman" w:cs="Times New Roman"/>
                <w:b w:val="0"/>
                <w:color w:val="FF0000"/>
                <w:sz w:val="24"/>
                <w:szCs w:val="24"/>
              </w:rPr>
            </w:pPr>
            <w:r w:rsidRPr="009E6E5E">
              <w:rPr>
                <w:rFonts w:ascii="Times New Roman" w:eastAsia="宋体" w:hAnsi="Times New Roman" w:cs="Times New Roman"/>
                <w:b w:val="0"/>
                <w:sz w:val="24"/>
                <w:szCs w:val="24"/>
              </w:rPr>
              <w:t>合用</w:t>
            </w:r>
            <w:r w:rsidRPr="009E6E5E">
              <w:rPr>
                <w:rFonts w:ascii="Times New Roman" w:eastAsia="宋体" w:hAnsi="Times New Roman" w:cs="Times New Roman"/>
                <w:b w:val="0"/>
                <w:sz w:val="24"/>
                <w:szCs w:val="24"/>
              </w:rPr>
              <w:t>NSAIDs</w:t>
            </w:r>
          </w:p>
          <w:p w:rsidR="007A5BD9" w:rsidRPr="009E6E5E" w:rsidRDefault="006F57AF" w:rsidP="0019434E">
            <w:pPr>
              <w:spacing w:after="0" w:line="240" w:lineRule="auto"/>
              <w:ind w:firstLineChars="118" w:firstLine="283"/>
              <w:rPr>
                <w:rFonts w:ascii="Times New Roman" w:eastAsia="宋体" w:hAnsi="Times New Roman" w:cs="Times New Roman"/>
                <w:b w:val="0"/>
                <w:sz w:val="24"/>
                <w:szCs w:val="24"/>
              </w:rPr>
            </w:pPr>
            <w:r w:rsidRPr="009E6E5E">
              <w:rPr>
                <w:rFonts w:ascii="Times New Roman" w:eastAsia="宋体" w:hAnsi="Times New Roman" w:cs="Times New Roman"/>
                <w:b w:val="0"/>
                <w:sz w:val="24"/>
                <w:szCs w:val="24"/>
              </w:rPr>
              <w:t>合用大剂量糖皮质激素</w:t>
            </w:r>
          </w:p>
        </w:tc>
        <w:tc>
          <w:tcPr>
            <w:tcW w:w="3407" w:type="dxa"/>
            <w:tcBorders>
              <w:top w:val="single" w:sz="4" w:space="0" w:color="auto"/>
            </w:tcBorders>
          </w:tcPr>
          <w:p w:rsidR="007A5BD9" w:rsidRPr="009E6E5E" w:rsidRDefault="006F57AF" w:rsidP="0019434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9E6E5E">
              <w:rPr>
                <w:rFonts w:ascii="Times New Roman" w:eastAsia="宋体" w:hAnsi="Times New Roman" w:cs="Times New Roman"/>
                <w:sz w:val="24"/>
                <w:szCs w:val="24"/>
              </w:rPr>
              <w:t>具有</w:t>
            </w:r>
            <w:r w:rsidR="009E6E5E">
              <w:rPr>
                <w:rFonts w:ascii="Times New Roman" w:eastAsia="宋体" w:hAnsi="Times New Roman" w:cs="Times New Roman" w:hint="eastAsia"/>
                <w:sz w:val="24"/>
                <w:szCs w:val="24"/>
              </w:rPr>
              <w:t>1</w:t>
            </w:r>
            <w:r w:rsidRPr="009E6E5E">
              <w:rPr>
                <w:rFonts w:ascii="Times New Roman" w:eastAsia="宋体" w:hAnsi="Times New Roman" w:cs="Times New Roman"/>
                <w:sz w:val="24"/>
                <w:szCs w:val="24"/>
              </w:rPr>
              <w:t>项即可使用常规剂量</w:t>
            </w:r>
            <w:r w:rsidRPr="009E6E5E">
              <w:rPr>
                <w:rFonts w:ascii="Times New Roman" w:eastAsia="宋体" w:hAnsi="Times New Roman" w:cs="Times New Roman"/>
                <w:sz w:val="24"/>
                <w:szCs w:val="24"/>
              </w:rPr>
              <w:t>PPI</w:t>
            </w:r>
            <w:r w:rsidRPr="009E6E5E">
              <w:rPr>
                <w:rFonts w:ascii="Times New Roman" w:eastAsia="宋体" w:hAnsi="Times New Roman" w:cs="Times New Roman"/>
                <w:sz w:val="24"/>
                <w:szCs w:val="24"/>
              </w:rPr>
              <w:t>预防消化道损伤</w:t>
            </w:r>
          </w:p>
        </w:tc>
      </w:tr>
      <w:tr w:rsidR="007A5BD9" w:rsidRPr="009E6E5E" w:rsidTr="009E6E5E">
        <w:trPr>
          <w:trHeight w:val="1185"/>
        </w:trPr>
        <w:tc>
          <w:tcPr>
            <w:cnfStyle w:val="001000000000" w:firstRow="0" w:lastRow="0" w:firstColumn="1" w:lastColumn="0" w:oddVBand="0" w:evenVBand="0" w:oddHBand="0" w:evenHBand="0" w:firstRowFirstColumn="0" w:firstRowLastColumn="0" w:lastRowFirstColumn="0" w:lastRowLastColumn="0"/>
            <w:tcW w:w="4923" w:type="dxa"/>
          </w:tcPr>
          <w:p w:rsidR="007A5BD9" w:rsidRPr="009E6E5E" w:rsidRDefault="006F57AF" w:rsidP="0019434E">
            <w:pPr>
              <w:spacing w:after="0" w:line="240" w:lineRule="auto"/>
              <w:ind w:firstLineChars="118" w:firstLine="283"/>
              <w:rPr>
                <w:rFonts w:ascii="Times New Roman" w:eastAsia="宋体" w:hAnsi="Times New Roman" w:cs="Times New Roman"/>
                <w:b w:val="0"/>
                <w:bCs w:val="0"/>
                <w:sz w:val="24"/>
                <w:szCs w:val="24"/>
              </w:rPr>
            </w:pPr>
            <w:r w:rsidRPr="009E6E5E">
              <w:rPr>
                <w:rFonts w:ascii="Times New Roman" w:eastAsia="宋体" w:hAnsi="Times New Roman" w:cs="Times New Roman"/>
                <w:b w:val="0"/>
                <w:sz w:val="24"/>
                <w:szCs w:val="24"/>
              </w:rPr>
              <w:lastRenderedPageBreak/>
              <w:t>年龄</w:t>
            </w:r>
            <w:r w:rsidR="009E6E5E" w:rsidRPr="009E6E5E">
              <w:rPr>
                <w:rFonts w:ascii="Times New Roman" w:eastAsia="宋体" w:hAnsi="Times New Roman" w:cs="Times New Roman"/>
                <w:b w:val="0"/>
                <w:kern w:val="2"/>
                <w:sz w:val="24"/>
                <w:szCs w:val="24"/>
              </w:rPr>
              <w:t>&gt;</w:t>
            </w:r>
            <w:r w:rsidRPr="009E6E5E">
              <w:rPr>
                <w:rFonts w:ascii="Times New Roman" w:eastAsia="宋体" w:hAnsi="Times New Roman" w:cs="Times New Roman"/>
                <w:b w:val="0"/>
                <w:sz w:val="24"/>
                <w:szCs w:val="24"/>
              </w:rPr>
              <w:t>65</w:t>
            </w:r>
            <w:r w:rsidRPr="009E6E5E">
              <w:rPr>
                <w:rFonts w:ascii="Times New Roman" w:eastAsia="宋体" w:hAnsi="Times New Roman" w:cs="Times New Roman"/>
                <w:b w:val="0"/>
                <w:sz w:val="24"/>
                <w:szCs w:val="24"/>
              </w:rPr>
              <w:t>岁</w:t>
            </w:r>
          </w:p>
          <w:p w:rsidR="007A5BD9" w:rsidRPr="009E6E5E" w:rsidRDefault="006F57AF" w:rsidP="0019434E">
            <w:pPr>
              <w:spacing w:after="0" w:line="240" w:lineRule="auto"/>
              <w:ind w:firstLineChars="118" w:firstLine="283"/>
              <w:rPr>
                <w:rFonts w:ascii="Times New Roman" w:eastAsia="宋体" w:hAnsi="Times New Roman" w:cs="Times New Roman"/>
                <w:b w:val="0"/>
                <w:bCs w:val="0"/>
                <w:sz w:val="24"/>
                <w:szCs w:val="24"/>
              </w:rPr>
            </w:pPr>
            <w:proofErr w:type="spellStart"/>
            <w:r w:rsidRPr="009E6E5E">
              <w:rPr>
                <w:rFonts w:ascii="Times New Roman" w:eastAsia="宋体" w:hAnsi="Times New Roman" w:cs="Times New Roman"/>
                <w:b w:val="0"/>
                <w:sz w:val="24"/>
                <w:szCs w:val="24"/>
              </w:rPr>
              <w:t>Hp</w:t>
            </w:r>
            <w:proofErr w:type="spellEnd"/>
            <w:r w:rsidRPr="009E6E5E">
              <w:rPr>
                <w:rFonts w:ascii="Times New Roman" w:eastAsia="宋体" w:hAnsi="Times New Roman" w:cs="Times New Roman"/>
                <w:b w:val="0"/>
                <w:sz w:val="24"/>
                <w:szCs w:val="24"/>
              </w:rPr>
              <w:t>感染</w:t>
            </w:r>
          </w:p>
          <w:p w:rsidR="007A5BD9" w:rsidRPr="009E6E5E" w:rsidRDefault="006F57AF" w:rsidP="0019434E">
            <w:pPr>
              <w:spacing w:after="0" w:line="240" w:lineRule="auto"/>
              <w:ind w:firstLineChars="118" w:firstLine="283"/>
              <w:rPr>
                <w:rFonts w:ascii="Times New Roman" w:eastAsia="宋体" w:hAnsi="Times New Roman" w:cs="Times New Roman"/>
                <w:b w:val="0"/>
                <w:bCs w:val="0"/>
                <w:sz w:val="24"/>
                <w:szCs w:val="24"/>
              </w:rPr>
            </w:pPr>
            <w:r w:rsidRPr="009E6E5E">
              <w:rPr>
                <w:rFonts w:ascii="Times New Roman" w:eastAsia="宋体" w:hAnsi="Times New Roman" w:cs="Times New Roman"/>
                <w:b w:val="0"/>
                <w:sz w:val="24"/>
                <w:szCs w:val="24"/>
              </w:rPr>
              <w:t>有消化不良或有胃食管反流症状</w:t>
            </w:r>
          </w:p>
          <w:p w:rsidR="007A5BD9" w:rsidRPr="009E6E5E" w:rsidRDefault="006F57AF" w:rsidP="0019434E">
            <w:pPr>
              <w:spacing w:after="0" w:line="240" w:lineRule="auto"/>
              <w:ind w:firstLineChars="118" w:firstLine="283"/>
              <w:rPr>
                <w:rFonts w:ascii="Times New Roman" w:eastAsia="宋体" w:hAnsi="Times New Roman" w:cs="Times New Roman"/>
                <w:b w:val="0"/>
                <w:bCs w:val="0"/>
                <w:sz w:val="24"/>
                <w:szCs w:val="24"/>
              </w:rPr>
            </w:pPr>
            <w:r w:rsidRPr="009E6E5E">
              <w:rPr>
                <w:rFonts w:ascii="Times New Roman" w:eastAsia="宋体" w:hAnsi="Times New Roman" w:cs="Times New Roman"/>
                <w:b w:val="0"/>
                <w:sz w:val="24"/>
                <w:szCs w:val="24"/>
              </w:rPr>
              <w:t>长期饮酒</w:t>
            </w:r>
          </w:p>
        </w:tc>
        <w:tc>
          <w:tcPr>
            <w:tcW w:w="3407" w:type="dxa"/>
          </w:tcPr>
          <w:p w:rsidR="007A5BD9" w:rsidRPr="009E6E5E" w:rsidRDefault="006F57AF" w:rsidP="0019434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9E6E5E">
              <w:rPr>
                <w:rFonts w:ascii="Times New Roman" w:eastAsia="宋体" w:hAnsi="Times New Roman" w:cs="Times New Roman"/>
                <w:sz w:val="24"/>
                <w:szCs w:val="24"/>
              </w:rPr>
              <w:t>具有</w:t>
            </w:r>
            <w:r w:rsidR="009E6E5E">
              <w:rPr>
                <w:rFonts w:ascii="Times New Roman" w:eastAsia="宋体" w:hAnsi="Times New Roman" w:cs="Times New Roman" w:hint="eastAsia"/>
                <w:sz w:val="24"/>
                <w:szCs w:val="24"/>
              </w:rPr>
              <w:t>2</w:t>
            </w:r>
            <w:r w:rsidRPr="009E6E5E">
              <w:rPr>
                <w:rFonts w:ascii="Times New Roman" w:eastAsia="宋体" w:hAnsi="Times New Roman" w:cs="Times New Roman"/>
                <w:sz w:val="24"/>
                <w:szCs w:val="24"/>
              </w:rPr>
              <w:t>项即可使用常规剂量</w:t>
            </w:r>
            <w:r w:rsidRPr="009E6E5E">
              <w:rPr>
                <w:rFonts w:ascii="Times New Roman" w:eastAsia="宋体" w:hAnsi="Times New Roman" w:cs="Times New Roman"/>
                <w:sz w:val="24"/>
                <w:szCs w:val="24"/>
              </w:rPr>
              <w:t>PPI</w:t>
            </w:r>
            <w:r w:rsidRPr="009E6E5E">
              <w:rPr>
                <w:rFonts w:ascii="Times New Roman" w:eastAsia="宋体" w:hAnsi="Times New Roman" w:cs="Times New Roman"/>
                <w:sz w:val="24"/>
                <w:szCs w:val="24"/>
              </w:rPr>
              <w:t>预防消化道损伤</w:t>
            </w:r>
          </w:p>
        </w:tc>
      </w:tr>
    </w:tbl>
    <w:p w:rsidR="007A5BD9" w:rsidRDefault="007A5BD9">
      <w:pPr>
        <w:spacing w:after="0" w:line="240" w:lineRule="auto"/>
        <w:rPr>
          <w:rFonts w:ascii="微软雅黑" w:eastAsia="微软雅黑" w:hAnsi="微软雅黑"/>
          <w:b/>
          <w:color w:val="000000" w:themeColor="text1"/>
          <w:sz w:val="20"/>
        </w:rPr>
      </w:pPr>
    </w:p>
    <w:p w:rsidR="007A5BD9" w:rsidRPr="009E6E5E" w:rsidRDefault="009E6E5E">
      <w:pPr>
        <w:rPr>
          <w:rFonts w:ascii="黑体" w:eastAsia="黑体" w:hAnsi="黑体"/>
          <w:sz w:val="24"/>
          <w:szCs w:val="24"/>
        </w:rPr>
      </w:pPr>
      <w:r w:rsidRPr="009E6E5E">
        <w:rPr>
          <w:rFonts w:ascii="黑体" w:eastAsia="黑体" w:hAnsi="黑体" w:cs="宋体" w:hint="eastAsia"/>
          <w:sz w:val="24"/>
          <w:szCs w:val="24"/>
        </w:rPr>
        <w:t>2.3</w:t>
      </w:r>
      <w:r>
        <w:rPr>
          <w:rFonts w:ascii="黑体" w:eastAsia="黑体" w:hAnsi="黑体" w:cs="宋体" w:hint="eastAsia"/>
          <w:sz w:val="24"/>
          <w:szCs w:val="24"/>
        </w:rPr>
        <w:t xml:space="preserve">  </w:t>
      </w:r>
      <w:r w:rsidR="006F57AF" w:rsidRPr="00703EA2">
        <w:rPr>
          <w:rFonts w:ascii="仿宋" w:eastAsia="仿宋" w:hAnsi="仿宋" w:hint="eastAsia"/>
          <w:sz w:val="24"/>
          <w:szCs w:val="24"/>
        </w:rPr>
        <w:t>医源性上消化道黏膜损伤</w:t>
      </w:r>
    </w:p>
    <w:p w:rsidR="007A5BD9" w:rsidRPr="00890F61" w:rsidRDefault="006F57AF" w:rsidP="00703EA2">
      <w:pPr>
        <w:spacing w:after="0" w:line="276" w:lineRule="auto"/>
        <w:ind w:firstLineChars="200" w:firstLine="480"/>
        <w:contextualSpacing/>
        <w:jc w:val="both"/>
        <w:rPr>
          <w:rFonts w:ascii="Times New Roman" w:eastAsia="宋体" w:hAnsi="Times New Roman" w:cs="Times New Roman"/>
          <w:sz w:val="24"/>
          <w:szCs w:val="24"/>
        </w:rPr>
      </w:pPr>
      <w:r w:rsidRPr="00890F61">
        <w:rPr>
          <w:rFonts w:ascii="Times New Roman" w:eastAsia="宋体" w:hAnsi="Times New Roman" w:cs="Times New Roman"/>
          <w:sz w:val="24"/>
          <w:szCs w:val="24"/>
        </w:rPr>
        <w:t>随着我国内镜技术的快速发展，胃黏膜病变内镜黏膜下剥离术（</w:t>
      </w:r>
      <w:r w:rsidRPr="00890F61">
        <w:rPr>
          <w:rFonts w:ascii="Times New Roman" w:eastAsia="宋体" w:hAnsi="Times New Roman" w:cs="Times New Roman"/>
          <w:sz w:val="24"/>
          <w:szCs w:val="24"/>
        </w:rPr>
        <w:t>endoscopic submucosal dissection</w:t>
      </w:r>
      <w:r w:rsidRPr="00890F61">
        <w:rPr>
          <w:rFonts w:ascii="Times New Roman" w:eastAsia="宋体" w:hAnsi="Times New Roman" w:cs="Times New Roman"/>
          <w:sz w:val="24"/>
          <w:szCs w:val="24"/>
        </w:rPr>
        <w:t>，</w:t>
      </w:r>
      <w:r w:rsidRPr="00890F61">
        <w:rPr>
          <w:rFonts w:ascii="Times New Roman" w:eastAsia="宋体" w:hAnsi="Times New Roman" w:cs="Times New Roman"/>
          <w:sz w:val="24"/>
          <w:szCs w:val="24"/>
        </w:rPr>
        <w:t>ESD</w:t>
      </w:r>
      <w:r w:rsidRPr="00890F61">
        <w:rPr>
          <w:rFonts w:ascii="Times New Roman" w:eastAsia="宋体" w:hAnsi="Times New Roman" w:cs="Times New Roman"/>
          <w:sz w:val="24"/>
          <w:szCs w:val="24"/>
        </w:rPr>
        <w:t>），已成为早期胃癌等胃黏膜病变内镜下微</w:t>
      </w:r>
      <w:proofErr w:type="gramStart"/>
      <w:r w:rsidRPr="00890F61">
        <w:rPr>
          <w:rFonts w:ascii="Times New Roman" w:eastAsia="宋体" w:hAnsi="Times New Roman" w:cs="Times New Roman"/>
          <w:sz w:val="24"/>
          <w:szCs w:val="24"/>
        </w:rPr>
        <w:t>创治疗</w:t>
      </w:r>
      <w:proofErr w:type="gramEnd"/>
      <w:r w:rsidRPr="00890F61">
        <w:rPr>
          <w:rFonts w:ascii="Times New Roman" w:eastAsia="宋体" w:hAnsi="Times New Roman" w:cs="Times New Roman"/>
          <w:sz w:val="24"/>
          <w:szCs w:val="24"/>
        </w:rPr>
        <w:t>的标准方法。</w:t>
      </w:r>
      <w:r w:rsidRPr="00890F61">
        <w:rPr>
          <w:rFonts w:ascii="Times New Roman" w:eastAsia="宋体" w:hAnsi="Times New Roman" w:cs="Times New Roman"/>
          <w:sz w:val="24"/>
          <w:szCs w:val="24"/>
        </w:rPr>
        <w:t>ESD</w:t>
      </w:r>
      <w:r w:rsidRPr="00890F61">
        <w:rPr>
          <w:rFonts w:ascii="Times New Roman" w:eastAsia="宋体" w:hAnsi="Times New Roman" w:cs="Times New Roman"/>
          <w:sz w:val="24"/>
          <w:szCs w:val="24"/>
        </w:rPr>
        <w:t>术中因直接剥离深度超过黏膜层，符合</w:t>
      </w:r>
      <w:r w:rsidR="002A6C02" w:rsidRPr="00890F61">
        <w:rPr>
          <w:rFonts w:ascii="Times New Roman" w:eastAsia="宋体" w:hAnsi="Times New Roman" w:cs="Times New Roman"/>
          <w:sz w:val="24"/>
          <w:szCs w:val="24"/>
        </w:rPr>
        <w:t>“</w:t>
      </w:r>
      <w:r w:rsidRPr="00890F61">
        <w:rPr>
          <w:rFonts w:ascii="Times New Roman" w:eastAsia="宋体" w:hAnsi="Times New Roman" w:cs="Times New Roman"/>
          <w:sz w:val="24"/>
          <w:szCs w:val="24"/>
        </w:rPr>
        <w:t>溃疡</w:t>
      </w:r>
      <w:r w:rsidR="002A6C02" w:rsidRPr="00890F61">
        <w:rPr>
          <w:rFonts w:ascii="Times New Roman" w:eastAsia="宋体" w:hAnsi="Times New Roman" w:cs="Times New Roman"/>
          <w:sz w:val="24"/>
          <w:szCs w:val="24"/>
        </w:rPr>
        <w:t>”</w:t>
      </w:r>
      <w:r w:rsidRPr="00890F61">
        <w:rPr>
          <w:rFonts w:ascii="Times New Roman" w:eastAsia="宋体" w:hAnsi="Times New Roman" w:cs="Times New Roman"/>
          <w:sz w:val="24"/>
          <w:szCs w:val="24"/>
        </w:rPr>
        <w:t>的定义，又称为人工溃疡或医源性溃疡</w:t>
      </w:r>
      <w:r w:rsidRPr="00890F61">
        <w:rPr>
          <w:rFonts w:ascii="Times New Roman" w:eastAsia="宋体" w:hAnsi="Times New Roman" w:cs="Times New Roman"/>
          <w:sz w:val="24"/>
          <w:szCs w:val="24"/>
          <w:vertAlign w:val="superscript"/>
        </w:rPr>
        <w:t>[40]</w:t>
      </w:r>
      <w:r w:rsidRPr="00890F61">
        <w:rPr>
          <w:rFonts w:ascii="Times New Roman" w:eastAsia="宋体" w:hAnsi="Times New Roman" w:cs="Times New Roman"/>
          <w:sz w:val="24"/>
          <w:szCs w:val="24"/>
        </w:rPr>
        <w:t>。人工溃疡部位的血管可在各种理化因素作用下破裂出血，促进溃疡尽快愈合可降低迟发性出血风险。</w:t>
      </w:r>
    </w:p>
    <w:p w:rsidR="007A5BD9" w:rsidRPr="00890F61" w:rsidRDefault="006F57AF" w:rsidP="00703EA2">
      <w:pPr>
        <w:spacing w:after="0" w:line="276" w:lineRule="auto"/>
        <w:ind w:firstLineChars="196" w:firstLine="472"/>
        <w:jc w:val="both"/>
        <w:rPr>
          <w:rFonts w:ascii="Times New Roman" w:eastAsia="宋体" w:hAnsi="Times New Roman" w:cs="Times New Roman"/>
          <w:sz w:val="24"/>
          <w:szCs w:val="24"/>
        </w:rPr>
      </w:pPr>
      <w:r w:rsidRPr="00890F61">
        <w:rPr>
          <w:rFonts w:ascii="Times New Roman" w:eastAsia="宋体" w:hAnsi="Times New Roman" w:cs="Times New Roman"/>
          <w:b/>
          <w:sz w:val="24"/>
          <w:szCs w:val="24"/>
        </w:rPr>
        <w:t>预防用药指征</w:t>
      </w:r>
      <w:r w:rsidR="009E6E5E" w:rsidRPr="00890F61">
        <w:rPr>
          <w:rFonts w:ascii="Times New Roman" w:eastAsia="宋体" w:hAnsi="Times New Roman" w:cs="Times New Roman"/>
          <w:b/>
          <w:sz w:val="24"/>
          <w:szCs w:val="24"/>
        </w:rPr>
        <w:t>：</w:t>
      </w:r>
      <w:r w:rsidR="009E6E5E" w:rsidRPr="00890F61">
        <w:rPr>
          <w:rFonts w:ascii="Times New Roman" w:eastAsia="宋体" w:hAnsi="Times New Roman" w:cs="Times New Roman"/>
          <w:sz w:val="24"/>
          <w:szCs w:val="24"/>
        </w:rPr>
        <w:t>（</w:t>
      </w:r>
      <w:r w:rsidRPr="00890F61">
        <w:rPr>
          <w:rFonts w:ascii="Times New Roman" w:eastAsia="宋体" w:hAnsi="Times New Roman" w:cs="Times New Roman"/>
          <w:sz w:val="24"/>
          <w:szCs w:val="24"/>
        </w:rPr>
        <w:t>1</w:t>
      </w:r>
      <w:r w:rsidR="009E6E5E" w:rsidRPr="00890F61">
        <w:rPr>
          <w:rFonts w:ascii="Times New Roman" w:eastAsia="宋体" w:hAnsi="Times New Roman" w:cs="Times New Roman"/>
          <w:sz w:val="24"/>
          <w:szCs w:val="24"/>
        </w:rPr>
        <w:t>）</w:t>
      </w:r>
      <w:r w:rsidRPr="00890F61">
        <w:rPr>
          <w:rFonts w:ascii="Times New Roman" w:eastAsia="宋体" w:hAnsi="Times New Roman" w:cs="Times New Roman"/>
          <w:sz w:val="24"/>
          <w:szCs w:val="24"/>
        </w:rPr>
        <w:t>我国</w:t>
      </w:r>
      <w:r w:rsidRPr="00890F61">
        <w:rPr>
          <w:rFonts w:ascii="Times New Roman" w:eastAsia="宋体" w:hAnsi="Times New Roman" w:cs="Times New Roman"/>
          <w:sz w:val="24"/>
          <w:szCs w:val="24"/>
        </w:rPr>
        <w:t>2017</w:t>
      </w:r>
      <w:r w:rsidRPr="00890F61">
        <w:rPr>
          <w:rFonts w:ascii="Times New Roman" w:eastAsia="宋体" w:hAnsi="Times New Roman" w:cs="Times New Roman"/>
          <w:sz w:val="24"/>
          <w:szCs w:val="24"/>
        </w:rPr>
        <w:t>年</w:t>
      </w:r>
      <w:r w:rsidRPr="00890F61">
        <w:rPr>
          <w:rFonts w:ascii="Times New Roman" w:eastAsia="宋体" w:hAnsi="Times New Roman" w:cs="Times New Roman"/>
          <w:sz w:val="24"/>
          <w:szCs w:val="24"/>
        </w:rPr>
        <w:t>ESD</w:t>
      </w:r>
      <w:r w:rsidRPr="00890F61">
        <w:rPr>
          <w:rFonts w:ascii="Times New Roman" w:eastAsia="宋体" w:hAnsi="Times New Roman" w:cs="Times New Roman"/>
          <w:sz w:val="24"/>
          <w:szCs w:val="24"/>
        </w:rPr>
        <w:t>指南建议术后使用</w:t>
      </w:r>
      <w:r w:rsidRPr="00890F61">
        <w:rPr>
          <w:rFonts w:ascii="Times New Roman" w:eastAsia="宋体" w:hAnsi="Times New Roman" w:cs="Times New Roman"/>
          <w:sz w:val="24"/>
          <w:szCs w:val="24"/>
        </w:rPr>
        <w:t>PPI</w:t>
      </w:r>
      <w:r w:rsidRPr="00890F61">
        <w:rPr>
          <w:rFonts w:ascii="Times New Roman" w:eastAsia="宋体" w:hAnsi="Times New Roman" w:cs="Times New Roman"/>
          <w:sz w:val="24"/>
          <w:szCs w:val="24"/>
        </w:rPr>
        <w:t>，降低迟发性出血和促进溃疡愈合</w:t>
      </w:r>
      <w:r w:rsidRPr="00890F61">
        <w:rPr>
          <w:rFonts w:ascii="Times New Roman" w:eastAsia="宋体" w:hAnsi="Times New Roman" w:cs="Times New Roman"/>
          <w:sz w:val="24"/>
          <w:szCs w:val="24"/>
          <w:vertAlign w:val="superscript"/>
        </w:rPr>
        <w:t>[41]</w:t>
      </w:r>
      <w:r w:rsidRPr="00890F61">
        <w:rPr>
          <w:rFonts w:ascii="Times New Roman" w:eastAsia="宋体" w:hAnsi="Times New Roman" w:cs="Times New Roman"/>
          <w:sz w:val="24"/>
          <w:szCs w:val="24"/>
        </w:rPr>
        <w:t>。</w:t>
      </w:r>
      <w:r w:rsidR="009E6E5E" w:rsidRPr="00890F61">
        <w:rPr>
          <w:rFonts w:ascii="Times New Roman" w:eastAsia="宋体" w:hAnsi="Times New Roman" w:cs="Times New Roman"/>
          <w:sz w:val="24"/>
          <w:szCs w:val="24"/>
        </w:rPr>
        <w:t>（</w:t>
      </w:r>
      <w:r w:rsidR="009E6E5E" w:rsidRPr="00890F61">
        <w:rPr>
          <w:rFonts w:ascii="Times New Roman" w:eastAsia="宋体" w:hAnsi="Times New Roman" w:cs="Times New Roman"/>
          <w:sz w:val="24"/>
          <w:szCs w:val="24"/>
        </w:rPr>
        <w:t>2</w:t>
      </w:r>
      <w:r w:rsidR="009E6E5E" w:rsidRPr="00890F61">
        <w:rPr>
          <w:rFonts w:ascii="Times New Roman" w:eastAsia="宋体" w:hAnsi="Times New Roman" w:cs="Times New Roman"/>
          <w:sz w:val="24"/>
          <w:szCs w:val="24"/>
        </w:rPr>
        <w:t>）</w:t>
      </w:r>
      <w:r w:rsidRPr="00890F61">
        <w:rPr>
          <w:rFonts w:ascii="Times New Roman" w:eastAsia="宋体" w:hAnsi="Times New Roman" w:cs="Times New Roman"/>
          <w:sz w:val="24"/>
          <w:szCs w:val="24"/>
        </w:rPr>
        <w:t>胃内</w:t>
      </w:r>
      <w:r w:rsidRPr="00890F61">
        <w:rPr>
          <w:rFonts w:ascii="Times New Roman" w:eastAsia="宋体" w:hAnsi="Times New Roman" w:cs="Times New Roman"/>
          <w:sz w:val="24"/>
          <w:szCs w:val="24"/>
        </w:rPr>
        <w:t>ESD</w:t>
      </w:r>
      <w:r w:rsidRPr="00890F61">
        <w:rPr>
          <w:rFonts w:ascii="Times New Roman" w:eastAsia="宋体" w:hAnsi="Times New Roman" w:cs="Times New Roman"/>
          <w:sz w:val="24"/>
          <w:szCs w:val="24"/>
        </w:rPr>
        <w:t>术后应常规使用抑酸剂，术后用药剂量及疗程，需考虑两方面问题：是否存在再出血发生风险；是否存在延迟愈合风险</w:t>
      </w:r>
      <w:r w:rsidRPr="00890F61">
        <w:rPr>
          <w:rFonts w:ascii="Times New Roman" w:eastAsia="宋体" w:hAnsi="Times New Roman" w:cs="Times New Roman"/>
          <w:sz w:val="24"/>
          <w:szCs w:val="24"/>
          <w:vertAlign w:val="superscript"/>
        </w:rPr>
        <w:t>[42-46]</w:t>
      </w:r>
      <w:r w:rsidRPr="00890F61">
        <w:rPr>
          <w:rFonts w:ascii="Times New Roman" w:eastAsia="宋体" w:hAnsi="Times New Roman" w:cs="Times New Roman"/>
          <w:sz w:val="24"/>
          <w:szCs w:val="24"/>
        </w:rPr>
        <w:t>。</w:t>
      </w:r>
    </w:p>
    <w:p w:rsidR="007A5BD9" w:rsidRPr="00890F61" w:rsidRDefault="00367F0A" w:rsidP="00703EA2">
      <w:pPr>
        <w:spacing w:after="0"/>
        <w:ind w:firstLineChars="196" w:firstLine="472"/>
        <w:jc w:val="both"/>
        <w:rPr>
          <w:rFonts w:ascii="Times New Roman" w:eastAsia="宋体" w:hAnsi="Times New Roman" w:cs="Times New Roman"/>
          <w:sz w:val="24"/>
          <w:szCs w:val="24"/>
        </w:rPr>
      </w:pPr>
      <w:r w:rsidRPr="00890F61">
        <w:rPr>
          <w:rFonts w:ascii="Times New Roman" w:eastAsia="宋体" w:hAnsi="Times New Roman" w:cs="Times New Roman"/>
          <w:b/>
          <w:sz w:val="24"/>
          <w:szCs w:val="24"/>
        </w:rPr>
        <w:t>用药建议：</w:t>
      </w:r>
      <w:r w:rsidRPr="00890F61">
        <w:rPr>
          <w:rFonts w:ascii="Times New Roman" w:eastAsia="宋体" w:hAnsi="Times New Roman" w:cs="Times New Roman"/>
          <w:sz w:val="24"/>
          <w:szCs w:val="24"/>
        </w:rPr>
        <w:t>（</w:t>
      </w:r>
      <w:r w:rsidRPr="00890F61">
        <w:rPr>
          <w:rFonts w:ascii="Times New Roman" w:eastAsia="宋体" w:hAnsi="Times New Roman" w:cs="Times New Roman"/>
          <w:sz w:val="24"/>
          <w:szCs w:val="24"/>
        </w:rPr>
        <w:t>1</w:t>
      </w:r>
      <w:r w:rsidRPr="00890F61">
        <w:rPr>
          <w:rFonts w:ascii="Times New Roman" w:eastAsia="宋体" w:hAnsi="Times New Roman" w:cs="Times New Roman"/>
          <w:sz w:val="24"/>
          <w:szCs w:val="24"/>
        </w:rPr>
        <w:t>）常规剂量，</w:t>
      </w:r>
      <w:r w:rsidRPr="00890F61">
        <w:rPr>
          <w:rFonts w:ascii="Times New Roman" w:eastAsia="宋体" w:hAnsi="Times New Roman" w:cs="Times New Roman"/>
          <w:sz w:val="24"/>
          <w:szCs w:val="24"/>
        </w:rPr>
        <w:t>1</w:t>
      </w:r>
      <w:r w:rsidRPr="00890F61">
        <w:rPr>
          <w:rFonts w:ascii="Times New Roman" w:eastAsia="宋体" w:hAnsi="Times New Roman" w:cs="Times New Roman"/>
          <w:sz w:val="24"/>
          <w:szCs w:val="24"/>
        </w:rPr>
        <w:t>日</w:t>
      </w:r>
      <w:r w:rsidRPr="00890F61">
        <w:rPr>
          <w:rFonts w:ascii="Times New Roman" w:eastAsia="宋体" w:hAnsi="Times New Roman" w:cs="Times New Roman"/>
          <w:sz w:val="24"/>
          <w:szCs w:val="24"/>
        </w:rPr>
        <w:t>2</w:t>
      </w:r>
      <w:r w:rsidRPr="00890F61">
        <w:rPr>
          <w:rFonts w:ascii="Times New Roman" w:eastAsia="宋体" w:hAnsi="Times New Roman" w:cs="Times New Roman"/>
          <w:sz w:val="24"/>
          <w:szCs w:val="24"/>
        </w:rPr>
        <w:t>次，</w:t>
      </w:r>
      <w:r w:rsidRPr="00890F61">
        <w:rPr>
          <w:rFonts w:ascii="Times New Roman" w:eastAsia="宋体" w:hAnsi="Times New Roman" w:cs="Times New Roman"/>
          <w:sz w:val="24"/>
          <w:szCs w:val="24"/>
        </w:rPr>
        <w:t>3~5 d</w:t>
      </w:r>
      <w:r w:rsidRPr="00890F61">
        <w:rPr>
          <w:rFonts w:ascii="Times New Roman" w:eastAsia="宋体" w:hAnsi="Times New Roman" w:cs="Times New Roman"/>
          <w:sz w:val="24"/>
          <w:szCs w:val="24"/>
        </w:rPr>
        <w:t>。若发生术后迟发性出血，高危患者推荐大剂量方案：如艾司奥美拉</w:t>
      </w:r>
      <w:proofErr w:type="gramStart"/>
      <w:r w:rsidRPr="00890F61">
        <w:rPr>
          <w:rFonts w:ascii="Times New Roman" w:eastAsia="宋体" w:hAnsi="Times New Roman" w:cs="Times New Roman"/>
          <w:sz w:val="24"/>
          <w:szCs w:val="24"/>
        </w:rPr>
        <w:t>唑</w:t>
      </w:r>
      <w:proofErr w:type="gramEnd"/>
      <w:r w:rsidRPr="00890F61">
        <w:rPr>
          <w:rFonts w:ascii="Times New Roman" w:eastAsia="宋体" w:hAnsi="Times New Roman" w:cs="Times New Roman"/>
          <w:sz w:val="24"/>
          <w:szCs w:val="24"/>
        </w:rPr>
        <w:t xml:space="preserve"> 80 mg</w:t>
      </w:r>
      <w:r w:rsidRPr="00890F61">
        <w:rPr>
          <w:rFonts w:ascii="Times New Roman" w:eastAsia="宋体" w:hAnsi="Times New Roman" w:cs="Times New Roman"/>
          <w:sz w:val="24"/>
          <w:szCs w:val="24"/>
        </w:rPr>
        <w:t>静注，</w:t>
      </w:r>
      <w:r w:rsidRPr="00890F61">
        <w:rPr>
          <w:rFonts w:ascii="Times New Roman" w:eastAsia="宋体" w:hAnsi="Times New Roman" w:cs="Times New Roman"/>
          <w:sz w:val="24"/>
          <w:szCs w:val="24"/>
        </w:rPr>
        <w:t>8 mg</w:t>
      </w:r>
      <w:r w:rsidRPr="00890F61">
        <w:rPr>
          <w:rFonts w:ascii="Times New Roman" w:eastAsia="宋体" w:hAnsi="Times New Roman" w:cs="Times New Roman"/>
          <w:sz w:val="24"/>
          <w:szCs w:val="24"/>
        </w:rPr>
        <w:t>﹒</w:t>
      </w:r>
      <w:r w:rsidRPr="00890F61">
        <w:rPr>
          <w:rFonts w:ascii="Times New Roman" w:eastAsia="宋体" w:hAnsi="Times New Roman" w:cs="Times New Roman"/>
          <w:sz w:val="24"/>
          <w:szCs w:val="24"/>
        </w:rPr>
        <w:t>h</w:t>
      </w:r>
      <w:r w:rsidRPr="00890F61">
        <w:rPr>
          <w:rFonts w:ascii="Times New Roman" w:eastAsia="宋体" w:hAnsi="Times New Roman" w:cs="Times New Roman"/>
          <w:sz w:val="24"/>
          <w:szCs w:val="24"/>
          <w:vertAlign w:val="superscript"/>
        </w:rPr>
        <w:t>-1</w:t>
      </w:r>
      <w:r w:rsidRPr="00890F61">
        <w:rPr>
          <w:rFonts w:ascii="Times New Roman" w:eastAsia="宋体" w:hAnsi="Times New Roman" w:cs="Times New Roman"/>
          <w:sz w:val="24"/>
          <w:szCs w:val="24"/>
        </w:rPr>
        <w:t>维持</w:t>
      </w:r>
      <w:r w:rsidRPr="00890F61">
        <w:rPr>
          <w:rFonts w:ascii="Times New Roman" w:eastAsia="宋体" w:hAnsi="Times New Roman" w:cs="Times New Roman"/>
          <w:sz w:val="24"/>
          <w:szCs w:val="24"/>
        </w:rPr>
        <w:t>72 h</w:t>
      </w:r>
      <w:r w:rsidRPr="00890F61">
        <w:rPr>
          <w:rFonts w:ascii="Times New Roman" w:eastAsia="宋体" w:hAnsi="Times New Roman" w:cs="Times New Roman"/>
          <w:sz w:val="24"/>
          <w:szCs w:val="24"/>
        </w:rPr>
        <w:t>。（</w:t>
      </w:r>
      <w:r w:rsidRPr="00890F61">
        <w:rPr>
          <w:rFonts w:ascii="Times New Roman" w:eastAsia="宋体" w:hAnsi="Times New Roman" w:cs="Times New Roman"/>
          <w:sz w:val="24"/>
          <w:szCs w:val="24"/>
        </w:rPr>
        <w:t>2.</w:t>
      </w:r>
      <w:r w:rsidRPr="00890F61">
        <w:rPr>
          <w:rFonts w:ascii="Times New Roman" w:eastAsia="宋体" w:hAnsi="Times New Roman" w:cs="Times New Roman"/>
          <w:sz w:val="24"/>
          <w:szCs w:val="24"/>
        </w:rPr>
        <w:t>）</w:t>
      </w:r>
      <w:proofErr w:type="gramStart"/>
      <w:r w:rsidRPr="00890F61">
        <w:rPr>
          <w:rFonts w:ascii="Times New Roman" w:eastAsia="宋体" w:hAnsi="Times New Roman" w:cs="Times New Roman"/>
          <w:sz w:val="24"/>
          <w:szCs w:val="24"/>
        </w:rPr>
        <w:t>当考虑</w:t>
      </w:r>
      <w:proofErr w:type="gramEnd"/>
      <w:r w:rsidRPr="00890F61">
        <w:rPr>
          <w:rFonts w:ascii="Times New Roman" w:eastAsia="宋体" w:hAnsi="Times New Roman" w:cs="Times New Roman"/>
          <w:sz w:val="24"/>
          <w:szCs w:val="24"/>
        </w:rPr>
        <w:t>出血停止后，继续口服维持</w:t>
      </w:r>
      <w:bookmarkStart w:id="6" w:name="_Hlk530397040"/>
      <w:r w:rsidRPr="00890F61">
        <w:rPr>
          <w:rFonts w:ascii="Times New Roman" w:eastAsia="宋体" w:hAnsi="Times New Roman" w:cs="Times New Roman"/>
          <w:sz w:val="24"/>
          <w:szCs w:val="24"/>
        </w:rPr>
        <w:t>4~8</w:t>
      </w:r>
      <w:r w:rsidRPr="00890F61">
        <w:rPr>
          <w:rFonts w:ascii="Times New Roman" w:eastAsia="宋体" w:hAnsi="Times New Roman" w:cs="Times New Roman"/>
          <w:sz w:val="24"/>
          <w:szCs w:val="24"/>
        </w:rPr>
        <w:t>周</w:t>
      </w:r>
      <w:bookmarkEnd w:id="6"/>
      <w:r w:rsidRPr="00890F61">
        <w:rPr>
          <w:rFonts w:ascii="Times New Roman" w:eastAsia="宋体" w:hAnsi="Times New Roman" w:cs="Times New Roman"/>
          <w:sz w:val="24"/>
          <w:szCs w:val="24"/>
        </w:rPr>
        <w:t>。</w:t>
      </w:r>
    </w:p>
    <w:p w:rsidR="0019434E" w:rsidRDefault="0019434E" w:rsidP="0019434E">
      <w:pPr>
        <w:spacing w:after="0"/>
        <w:ind w:firstLineChars="196" w:firstLine="392"/>
        <w:rPr>
          <w:rFonts w:ascii="微软雅黑" w:eastAsia="微软雅黑" w:hAnsi="微软雅黑"/>
          <w:sz w:val="20"/>
          <w:szCs w:val="20"/>
        </w:rPr>
      </w:pPr>
    </w:p>
    <w:p w:rsidR="007A5BD9" w:rsidRPr="00367F0A" w:rsidRDefault="006F57AF" w:rsidP="0019434E">
      <w:pPr>
        <w:spacing w:line="240" w:lineRule="auto"/>
        <w:ind w:left="360"/>
        <w:rPr>
          <w:rFonts w:ascii="Times New Roman" w:eastAsia="黑体" w:hAnsi="Times New Roman" w:cs="Times New Roman"/>
          <w:sz w:val="24"/>
          <w:szCs w:val="24"/>
        </w:rPr>
      </w:pPr>
      <w:bookmarkStart w:id="7" w:name="_Hlk536548296"/>
      <w:r w:rsidRPr="00367F0A">
        <w:rPr>
          <w:rFonts w:ascii="Times New Roman" w:eastAsia="黑体" w:hAnsi="Times New Roman" w:cs="Times New Roman"/>
          <w:sz w:val="24"/>
          <w:szCs w:val="24"/>
        </w:rPr>
        <w:t>表</w:t>
      </w:r>
      <w:r w:rsidRPr="00367F0A">
        <w:rPr>
          <w:rFonts w:ascii="Times New Roman" w:eastAsia="黑体" w:hAnsi="Times New Roman" w:cs="Times New Roman"/>
          <w:sz w:val="24"/>
          <w:szCs w:val="24"/>
        </w:rPr>
        <w:t>5  ESD</w:t>
      </w:r>
      <w:r w:rsidRPr="00367F0A">
        <w:rPr>
          <w:rFonts w:ascii="Times New Roman" w:eastAsia="黑体" w:hAnsi="Times New Roman" w:cs="Times New Roman"/>
          <w:sz w:val="24"/>
          <w:szCs w:val="24"/>
        </w:rPr>
        <w:t>所致人工溃疡出血预防建议</w:t>
      </w:r>
      <w:bookmarkEnd w:id="7"/>
    </w:p>
    <w:tbl>
      <w:tblPr>
        <w:tblStyle w:val="aa"/>
        <w:tblW w:w="884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402"/>
        <w:gridCol w:w="2637"/>
      </w:tblGrid>
      <w:tr w:rsidR="007A5BD9" w:rsidRPr="00367F0A" w:rsidTr="002A6C02">
        <w:tc>
          <w:tcPr>
            <w:tcW w:w="2802" w:type="dxa"/>
            <w:tcBorders>
              <w:top w:val="single" w:sz="4" w:space="0" w:color="auto"/>
              <w:bottom w:val="single" w:sz="4" w:space="0" w:color="auto"/>
            </w:tcBorders>
          </w:tcPr>
          <w:p w:rsidR="007A5BD9" w:rsidRPr="00367F0A" w:rsidRDefault="006F57AF">
            <w:pPr>
              <w:spacing w:after="0" w:line="240" w:lineRule="auto"/>
              <w:rPr>
                <w:rFonts w:ascii="Times New Roman" w:eastAsia="宋体" w:hAnsi="Times New Roman" w:cs="Times New Roman"/>
                <w:sz w:val="24"/>
                <w:szCs w:val="24"/>
              </w:rPr>
            </w:pPr>
            <w:r w:rsidRPr="00367F0A">
              <w:rPr>
                <w:rFonts w:ascii="Times New Roman" w:eastAsia="宋体" w:hAnsi="Times New Roman" w:cs="Times New Roman"/>
                <w:sz w:val="24"/>
                <w:szCs w:val="24"/>
              </w:rPr>
              <w:t>考虑维度</w:t>
            </w:r>
          </w:p>
        </w:tc>
        <w:tc>
          <w:tcPr>
            <w:tcW w:w="3402" w:type="dxa"/>
            <w:tcBorders>
              <w:top w:val="single" w:sz="4" w:space="0" w:color="auto"/>
              <w:bottom w:val="single" w:sz="4" w:space="0" w:color="auto"/>
            </w:tcBorders>
          </w:tcPr>
          <w:p w:rsidR="007A5BD9" w:rsidRPr="00367F0A" w:rsidRDefault="006F57AF">
            <w:pPr>
              <w:spacing w:after="0" w:line="240" w:lineRule="auto"/>
              <w:rPr>
                <w:rFonts w:ascii="Times New Roman" w:eastAsia="宋体" w:hAnsi="Times New Roman" w:cs="Times New Roman"/>
                <w:sz w:val="24"/>
                <w:szCs w:val="24"/>
              </w:rPr>
            </w:pPr>
            <w:r w:rsidRPr="00367F0A">
              <w:rPr>
                <w:rFonts w:ascii="Times New Roman" w:eastAsia="宋体" w:hAnsi="Times New Roman" w:cs="Times New Roman"/>
                <w:sz w:val="24"/>
                <w:szCs w:val="24"/>
              </w:rPr>
              <w:t>危险因素</w:t>
            </w:r>
          </w:p>
        </w:tc>
        <w:tc>
          <w:tcPr>
            <w:tcW w:w="2637" w:type="dxa"/>
            <w:tcBorders>
              <w:top w:val="single" w:sz="4" w:space="0" w:color="auto"/>
              <w:bottom w:val="single" w:sz="4" w:space="0" w:color="auto"/>
            </w:tcBorders>
          </w:tcPr>
          <w:p w:rsidR="007A5BD9" w:rsidRPr="00367F0A" w:rsidRDefault="006F57AF">
            <w:pPr>
              <w:spacing w:after="0" w:line="240" w:lineRule="auto"/>
              <w:rPr>
                <w:rFonts w:ascii="Times New Roman" w:eastAsia="宋体" w:hAnsi="Times New Roman" w:cs="Times New Roman"/>
                <w:sz w:val="24"/>
                <w:szCs w:val="24"/>
              </w:rPr>
            </w:pPr>
            <w:r w:rsidRPr="00367F0A">
              <w:rPr>
                <w:rFonts w:ascii="Times New Roman" w:eastAsia="宋体" w:hAnsi="Times New Roman" w:cs="Times New Roman"/>
                <w:sz w:val="24"/>
                <w:szCs w:val="24"/>
              </w:rPr>
              <w:t>预防建议</w:t>
            </w:r>
          </w:p>
        </w:tc>
      </w:tr>
      <w:tr w:rsidR="007A5BD9" w:rsidRPr="00367F0A" w:rsidTr="002A6C02">
        <w:trPr>
          <w:trHeight w:val="1402"/>
        </w:trPr>
        <w:tc>
          <w:tcPr>
            <w:tcW w:w="2802" w:type="dxa"/>
            <w:tcBorders>
              <w:top w:val="single" w:sz="4" w:space="0" w:color="auto"/>
            </w:tcBorders>
          </w:tcPr>
          <w:p w:rsidR="007A5BD9" w:rsidRPr="00367F0A" w:rsidRDefault="006F57AF">
            <w:pPr>
              <w:spacing w:after="0" w:line="240" w:lineRule="auto"/>
              <w:rPr>
                <w:rFonts w:ascii="Times New Roman" w:eastAsia="宋体" w:hAnsi="Times New Roman" w:cs="Times New Roman"/>
                <w:sz w:val="24"/>
                <w:szCs w:val="24"/>
              </w:rPr>
            </w:pPr>
            <w:r w:rsidRPr="00367F0A">
              <w:rPr>
                <w:rFonts w:ascii="Times New Roman" w:eastAsia="宋体" w:hAnsi="Times New Roman" w:cs="Times New Roman"/>
                <w:sz w:val="24"/>
                <w:szCs w:val="24"/>
              </w:rPr>
              <w:t>迟发性出血</w:t>
            </w:r>
            <w:r w:rsidRPr="00367F0A">
              <w:rPr>
                <w:rFonts w:ascii="Times New Roman" w:eastAsia="宋体" w:hAnsi="Times New Roman" w:cs="Times New Roman"/>
                <w:sz w:val="24"/>
                <w:szCs w:val="24"/>
              </w:rPr>
              <w:t>/</w:t>
            </w:r>
            <w:r w:rsidRPr="00367F0A">
              <w:rPr>
                <w:rFonts w:ascii="Times New Roman" w:eastAsia="宋体" w:hAnsi="Times New Roman" w:cs="Times New Roman"/>
                <w:sz w:val="24"/>
                <w:szCs w:val="24"/>
              </w:rPr>
              <w:t>再出血风险</w:t>
            </w:r>
          </w:p>
        </w:tc>
        <w:tc>
          <w:tcPr>
            <w:tcW w:w="3402" w:type="dxa"/>
            <w:tcBorders>
              <w:top w:val="single" w:sz="4" w:space="0" w:color="auto"/>
            </w:tcBorders>
          </w:tcPr>
          <w:p w:rsidR="007A5BD9" w:rsidRPr="00367F0A" w:rsidRDefault="006F57AF">
            <w:pPr>
              <w:spacing w:after="0" w:line="240" w:lineRule="auto"/>
              <w:rPr>
                <w:rFonts w:ascii="Times New Roman" w:eastAsia="宋体" w:hAnsi="Times New Roman" w:cs="Times New Roman"/>
                <w:sz w:val="24"/>
                <w:szCs w:val="24"/>
              </w:rPr>
            </w:pPr>
            <w:r w:rsidRPr="00367F0A">
              <w:rPr>
                <w:rFonts w:ascii="Times New Roman" w:eastAsia="宋体" w:hAnsi="Times New Roman" w:cs="Times New Roman"/>
                <w:sz w:val="24"/>
                <w:szCs w:val="24"/>
              </w:rPr>
              <w:t>切除标本直径</w:t>
            </w:r>
            <w:r w:rsidR="002A6C02" w:rsidRPr="00367F0A">
              <w:rPr>
                <w:rFonts w:ascii="Times New Roman" w:eastAsia="宋体" w:hAnsi="Times New Roman" w:cs="Times New Roman"/>
                <w:sz w:val="24"/>
                <w:szCs w:val="24"/>
              </w:rPr>
              <w:t>&gt;</w:t>
            </w:r>
            <w:r w:rsidRPr="00367F0A">
              <w:rPr>
                <w:rFonts w:ascii="Times New Roman" w:eastAsia="宋体" w:hAnsi="Times New Roman" w:cs="Times New Roman"/>
                <w:sz w:val="24"/>
                <w:szCs w:val="24"/>
              </w:rPr>
              <w:t>40</w:t>
            </w:r>
            <w:r w:rsidR="002A6C02" w:rsidRPr="00367F0A">
              <w:rPr>
                <w:rFonts w:ascii="Times New Roman" w:eastAsia="宋体" w:hAnsi="Times New Roman" w:cs="Times New Roman"/>
                <w:sz w:val="24"/>
                <w:szCs w:val="24"/>
              </w:rPr>
              <w:t xml:space="preserve"> </w:t>
            </w:r>
            <w:r w:rsidRPr="00367F0A">
              <w:rPr>
                <w:rFonts w:ascii="Times New Roman" w:eastAsia="宋体" w:hAnsi="Times New Roman" w:cs="Times New Roman"/>
                <w:sz w:val="24"/>
                <w:szCs w:val="24"/>
              </w:rPr>
              <w:t>mm</w:t>
            </w:r>
          </w:p>
          <w:p w:rsidR="007A5BD9" w:rsidRPr="00367F0A" w:rsidRDefault="006F57AF">
            <w:pPr>
              <w:spacing w:after="0" w:line="240" w:lineRule="auto"/>
              <w:rPr>
                <w:rFonts w:ascii="Times New Roman" w:eastAsia="宋体" w:hAnsi="Times New Roman" w:cs="Times New Roman"/>
                <w:sz w:val="24"/>
                <w:szCs w:val="24"/>
              </w:rPr>
            </w:pPr>
            <w:r w:rsidRPr="00367F0A">
              <w:rPr>
                <w:rFonts w:ascii="Times New Roman" w:eastAsia="宋体" w:hAnsi="Times New Roman" w:cs="Times New Roman"/>
                <w:sz w:val="24"/>
                <w:szCs w:val="24"/>
              </w:rPr>
              <w:t>肿瘤直径</w:t>
            </w:r>
            <w:r w:rsidR="002A6C02" w:rsidRPr="00367F0A">
              <w:rPr>
                <w:rFonts w:ascii="Times New Roman" w:eastAsia="宋体" w:hAnsi="Times New Roman" w:cs="Times New Roman"/>
                <w:sz w:val="24"/>
                <w:szCs w:val="24"/>
              </w:rPr>
              <w:t>&gt;</w:t>
            </w:r>
            <w:r w:rsidRPr="00367F0A">
              <w:rPr>
                <w:rFonts w:ascii="Times New Roman" w:eastAsia="宋体" w:hAnsi="Times New Roman" w:cs="Times New Roman"/>
                <w:sz w:val="24"/>
                <w:szCs w:val="24"/>
              </w:rPr>
              <w:t>20</w:t>
            </w:r>
            <w:r w:rsidR="002A6C02" w:rsidRPr="00367F0A">
              <w:rPr>
                <w:rFonts w:ascii="Times New Roman" w:eastAsia="宋体" w:hAnsi="Times New Roman" w:cs="Times New Roman"/>
                <w:sz w:val="24"/>
                <w:szCs w:val="24"/>
              </w:rPr>
              <w:t xml:space="preserve"> </w:t>
            </w:r>
            <w:r w:rsidRPr="00367F0A">
              <w:rPr>
                <w:rFonts w:ascii="Times New Roman" w:eastAsia="宋体" w:hAnsi="Times New Roman" w:cs="Times New Roman"/>
                <w:sz w:val="24"/>
                <w:szCs w:val="24"/>
              </w:rPr>
              <w:t>mm</w:t>
            </w:r>
          </w:p>
          <w:p w:rsidR="007A5BD9" w:rsidRPr="00367F0A" w:rsidRDefault="006F57AF">
            <w:pPr>
              <w:spacing w:after="0" w:line="240" w:lineRule="auto"/>
              <w:rPr>
                <w:rFonts w:ascii="Times New Roman" w:eastAsia="宋体" w:hAnsi="Times New Roman" w:cs="Times New Roman"/>
                <w:sz w:val="24"/>
                <w:szCs w:val="24"/>
              </w:rPr>
            </w:pPr>
            <w:r w:rsidRPr="00367F0A">
              <w:rPr>
                <w:rFonts w:ascii="Times New Roman" w:eastAsia="宋体" w:hAnsi="Times New Roman" w:cs="Times New Roman"/>
                <w:sz w:val="24"/>
                <w:szCs w:val="24"/>
              </w:rPr>
              <w:t>服用抗</w:t>
            </w:r>
            <w:proofErr w:type="gramStart"/>
            <w:r w:rsidRPr="00367F0A">
              <w:rPr>
                <w:rFonts w:ascii="Times New Roman" w:eastAsia="宋体" w:hAnsi="Times New Roman" w:cs="Times New Roman"/>
                <w:sz w:val="24"/>
                <w:szCs w:val="24"/>
              </w:rPr>
              <w:t>栓</w:t>
            </w:r>
            <w:proofErr w:type="gramEnd"/>
            <w:r w:rsidRPr="00367F0A">
              <w:rPr>
                <w:rFonts w:ascii="Times New Roman" w:eastAsia="宋体" w:hAnsi="Times New Roman" w:cs="Times New Roman"/>
                <w:sz w:val="24"/>
                <w:szCs w:val="24"/>
              </w:rPr>
              <w:t>药物</w:t>
            </w:r>
            <w:r w:rsidRPr="00367F0A">
              <w:rPr>
                <w:rFonts w:ascii="Times New Roman" w:eastAsia="宋体" w:hAnsi="Times New Roman" w:cs="Times New Roman"/>
                <w:sz w:val="24"/>
                <w:szCs w:val="24"/>
              </w:rPr>
              <w:t>(</w:t>
            </w:r>
            <w:r w:rsidRPr="00367F0A">
              <w:rPr>
                <w:rFonts w:ascii="Times New Roman" w:eastAsia="宋体" w:hAnsi="Times New Roman" w:cs="Times New Roman"/>
                <w:sz w:val="24"/>
                <w:szCs w:val="24"/>
              </w:rPr>
              <w:t>尤其是</w:t>
            </w:r>
            <w:r w:rsidRPr="00367F0A">
              <w:rPr>
                <w:rFonts w:ascii="Times New Roman" w:eastAsia="宋体" w:hAnsi="Times New Roman" w:cs="Times New Roman"/>
                <w:sz w:val="24"/>
                <w:szCs w:val="24"/>
              </w:rPr>
              <w:t>≥2</w:t>
            </w:r>
            <w:r w:rsidRPr="00367F0A">
              <w:rPr>
                <w:rFonts w:ascii="Times New Roman" w:eastAsia="宋体" w:hAnsi="Times New Roman" w:cs="Times New Roman"/>
                <w:sz w:val="24"/>
                <w:szCs w:val="24"/>
              </w:rPr>
              <w:t>种抗</w:t>
            </w:r>
            <w:proofErr w:type="gramStart"/>
            <w:r w:rsidRPr="00367F0A">
              <w:rPr>
                <w:rFonts w:ascii="Times New Roman" w:eastAsia="宋体" w:hAnsi="Times New Roman" w:cs="Times New Roman"/>
                <w:sz w:val="24"/>
                <w:szCs w:val="24"/>
              </w:rPr>
              <w:t>栓</w:t>
            </w:r>
            <w:proofErr w:type="gramEnd"/>
            <w:r w:rsidRPr="00367F0A">
              <w:rPr>
                <w:rFonts w:ascii="Times New Roman" w:eastAsia="宋体" w:hAnsi="Times New Roman" w:cs="Times New Roman"/>
                <w:sz w:val="24"/>
                <w:szCs w:val="24"/>
              </w:rPr>
              <w:t>药物</w:t>
            </w:r>
            <w:r w:rsidRPr="00367F0A">
              <w:rPr>
                <w:rFonts w:ascii="Times New Roman" w:eastAsia="宋体" w:hAnsi="Times New Roman" w:cs="Times New Roman"/>
                <w:sz w:val="24"/>
                <w:szCs w:val="24"/>
              </w:rPr>
              <w:t>)</w:t>
            </w:r>
          </w:p>
          <w:p w:rsidR="007A5BD9" w:rsidRPr="00367F0A" w:rsidRDefault="006F57AF">
            <w:pPr>
              <w:spacing w:after="0" w:line="240" w:lineRule="auto"/>
              <w:rPr>
                <w:rFonts w:ascii="Times New Roman" w:eastAsia="宋体" w:hAnsi="Times New Roman" w:cs="Times New Roman"/>
                <w:sz w:val="24"/>
                <w:szCs w:val="24"/>
              </w:rPr>
            </w:pPr>
            <w:r w:rsidRPr="00367F0A">
              <w:rPr>
                <w:rFonts w:ascii="Times New Roman" w:eastAsia="宋体" w:hAnsi="Times New Roman" w:cs="Times New Roman"/>
                <w:sz w:val="24"/>
                <w:szCs w:val="24"/>
              </w:rPr>
              <w:t>平坦</w:t>
            </w:r>
            <w:r w:rsidRPr="00367F0A">
              <w:rPr>
                <w:rFonts w:ascii="Times New Roman" w:eastAsia="宋体" w:hAnsi="Times New Roman" w:cs="Times New Roman"/>
                <w:sz w:val="24"/>
                <w:szCs w:val="24"/>
              </w:rPr>
              <w:t>/</w:t>
            </w:r>
            <w:r w:rsidRPr="00367F0A">
              <w:rPr>
                <w:rFonts w:ascii="Times New Roman" w:eastAsia="宋体" w:hAnsi="Times New Roman" w:cs="Times New Roman"/>
                <w:sz w:val="24"/>
                <w:szCs w:val="24"/>
              </w:rPr>
              <w:t>凹陷型病变</w:t>
            </w:r>
          </w:p>
          <w:p w:rsidR="007A5BD9" w:rsidRPr="00367F0A" w:rsidRDefault="006F57AF">
            <w:pPr>
              <w:spacing w:after="0" w:line="240" w:lineRule="auto"/>
              <w:rPr>
                <w:rFonts w:ascii="Times New Roman" w:eastAsia="宋体" w:hAnsi="Times New Roman" w:cs="Times New Roman"/>
                <w:sz w:val="24"/>
                <w:szCs w:val="24"/>
              </w:rPr>
            </w:pPr>
            <w:r w:rsidRPr="00367F0A">
              <w:rPr>
                <w:rFonts w:ascii="Times New Roman" w:eastAsia="宋体" w:hAnsi="Times New Roman" w:cs="Times New Roman"/>
                <w:sz w:val="24"/>
                <w:szCs w:val="24"/>
              </w:rPr>
              <w:t>组织类型为癌</w:t>
            </w:r>
          </w:p>
          <w:p w:rsidR="007A5BD9" w:rsidRPr="00367F0A" w:rsidRDefault="006F57AF">
            <w:pPr>
              <w:spacing w:after="0" w:line="240" w:lineRule="auto"/>
              <w:rPr>
                <w:rFonts w:ascii="Times New Roman" w:eastAsia="宋体" w:hAnsi="Times New Roman" w:cs="Times New Roman"/>
                <w:sz w:val="24"/>
                <w:szCs w:val="24"/>
              </w:rPr>
            </w:pPr>
            <w:r w:rsidRPr="00367F0A">
              <w:rPr>
                <w:rFonts w:ascii="Times New Roman" w:eastAsia="宋体" w:hAnsi="Times New Roman" w:cs="Times New Roman"/>
                <w:sz w:val="24"/>
                <w:szCs w:val="24"/>
              </w:rPr>
              <w:t>病变位于小弯侧</w:t>
            </w:r>
          </w:p>
          <w:p w:rsidR="007A5BD9" w:rsidRPr="00367F0A" w:rsidRDefault="006F57AF">
            <w:pPr>
              <w:spacing w:after="0" w:line="240" w:lineRule="auto"/>
              <w:rPr>
                <w:rFonts w:ascii="Times New Roman" w:eastAsia="宋体" w:hAnsi="Times New Roman" w:cs="Times New Roman"/>
                <w:sz w:val="24"/>
                <w:szCs w:val="24"/>
              </w:rPr>
            </w:pPr>
            <w:r w:rsidRPr="00367F0A">
              <w:rPr>
                <w:rFonts w:ascii="Times New Roman" w:eastAsia="宋体" w:hAnsi="Times New Roman" w:cs="Times New Roman"/>
                <w:sz w:val="24"/>
                <w:szCs w:val="24"/>
              </w:rPr>
              <w:t>伴有溃疡</w:t>
            </w:r>
          </w:p>
          <w:p w:rsidR="007A5BD9" w:rsidRPr="00367F0A" w:rsidRDefault="006F57AF">
            <w:pPr>
              <w:spacing w:after="0" w:line="240" w:lineRule="auto"/>
              <w:rPr>
                <w:rFonts w:ascii="Times New Roman" w:eastAsia="宋体" w:hAnsi="Times New Roman" w:cs="Times New Roman"/>
                <w:sz w:val="24"/>
                <w:szCs w:val="24"/>
              </w:rPr>
            </w:pPr>
            <w:r w:rsidRPr="00367F0A">
              <w:rPr>
                <w:rFonts w:ascii="Times New Roman" w:eastAsia="宋体" w:hAnsi="Times New Roman" w:cs="Times New Roman"/>
                <w:sz w:val="24"/>
                <w:szCs w:val="24"/>
              </w:rPr>
              <w:t>合并心脏病</w:t>
            </w:r>
            <w:r w:rsidRPr="00367F0A">
              <w:rPr>
                <w:rFonts w:ascii="Times New Roman" w:eastAsia="宋体" w:hAnsi="Times New Roman" w:cs="Times New Roman"/>
                <w:sz w:val="24"/>
                <w:szCs w:val="24"/>
              </w:rPr>
              <w:t>/</w:t>
            </w:r>
            <w:r w:rsidRPr="00367F0A">
              <w:rPr>
                <w:rFonts w:ascii="Times New Roman" w:eastAsia="宋体" w:hAnsi="Times New Roman" w:cs="Times New Roman"/>
                <w:sz w:val="24"/>
                <w:szCs w:val="24"/>
              </w:rPr>
              <w:t>肝硬化</w:t>
            </w:r>
            <w:r w:rsidRPr="00367F0A">
              <w:rPr>
                <w:rFonts w:ascii="Times New Roman" w:eastAsia="宋体" w:hAnsi="Times New Roman" w:cs="Times New Roman"/>
                <w:sz w:val="24"/>
                <w:szCs w:val="24"/>
              </w:rPr>
              <w:t>/</w:t>
            </w:r>
            <w:r w:rsidRPr="00367F0A">
              <w:rPr>
                <w:rFonts w:ascii="Times New Roman" w:eastAsia="宋体" w:hAnsi="Times New Roman" w:cs="Times New Roman"/>
                <w:sz w:val="24"/>
                <w:szCs w:val="24"/>
              </w:rPr>
              <w:t>慢性肾病</w:t>
            </w:r>
            <w:r w:rsidRPr="00367F0A">
              <w:rPr>
                <w:rFonts w:ascii="Times New Roman" w:eastAsia="宋体" w:hAnsi="Times New Roman" w:cs="Times New Roman"/>
                <w:sz w:val="24"/>
                <w:szCs w:val="24"/>
              </w:rPr>
              <w:t>/</w:t>
            </w:r>
            <w:r w:rsidRPr="00367F0A">
              <w:rPr>
                <w:rFonts w:ascii="Times New Roman" w:eastAsia="宋体" w:hAnsi="Times New Roman" w:cs="Times New Roman"/>
                <w:sz w:val="24"/>
                <w:szCs w:val="24"/>
              </w:rPr>
              <w:t>血液透析</w:t>
            </w:r>
          </w:p>
          <w:p w:rsidR="007A5BD9" w:rsidRPr="00367F0A" w:rsidRDefault="006F57AF" w:rsidP="002A6C02">
            <w:pPr>
              <w:spacing w:after="0" w:line="240" w:lineRule="auto"/>
              <w:rPr>
                <w:rFonts w:ascii="Times New Roman" w:eastAsia="宋体" w:hAnsi="Times New Roman" w:cs="Times New Roman"/>
                <w:sz w:val="24"/>
                <w:szCs w:val="24"/>
              </w:rPr>
            </w:pPr>
            <w:r w:rsidRPr="00367F0A">
              <w:rPr>
                <w:rFonts w:ascii="Times New Roman" w:eastAsia="宋体" w:hAnsi="Times New Roman" w:cs="Times New Roman"/>
                <w:kern w:val="0"/>
                <w:sz w:val="24"/>
                <w:szCs w:val="24"/>
              </w:rPr>
              <w:t>操作时间长</w:t>
            </w:r>
            <w:r w:rsidRPr="00367F0A">
              <w:rPr>
                <w:rFonts w:ascii="Times New Roman" w:eastAsia="宋体" w:hAnsi="Times New Roman" w:cs="Times New Roman"/>
                <w:kern w:val="0"/>
                <w:sz w:val="24"/>
                <w:szCs w:val="24"/>
              </w:rPr>
              <w:t>(</w:t>
            </w:r>
            <w:r w:rsidR="002A6C02" w:rsidRPr="00367F0A">
              <w:rPr>
                <w:rFonts w:ascii="Times New Roman" w:eastAsia="宋体" w:hAnsi="Times New Roman" w:cs="Times New Roman"/>
                <w:kern w:val="0"/>
                <w:sz w:val="24"/>
                <w:szCs w:val="24"/>
              </w:rPr>
              <w:t>&gt;</w:t>
            </w:r>
            <w:r w:rsidRPr="00367F0A">
              <w:rPr>
                <w:rFonts w:ascii="Times New Roman" w:eastAsia="宋体" w:hAnsi="Times New Roman" w:cs="Times New Roman"/>
                <w:kern w:val="0"/>
                <w:sz w:val="24"/>
                <w:szCs w:val="24"/>
              </w:rPr>
              <w:t>60</w:t>
            </w:r>
            <w:r w:rsidR="002A6C02" w:rsidRPr="00367F0A">
              <w:rPr>
                <w:rFonts w:ascii="Times New Roman" w:eastAsia="宋体" w:hAnsi="Times New Roman" w:cs="Times New Roman"/>
                <w:kern w:val="0"/>
                <w:sz w:val="24"/>
                <w:szCs w:val="24"/>
              </w:rPr>
              <w:t xml:space="preserve"> </w:t>
            </w:r>
            <w:r w:rsidRPr="00367F0A">
              <w:rPr>
                <w:rFonts w:ascii="Times New Roman" w:eastAsia="宋体" w:hAnsi="Times New Roman" w:cs="Times New Roman"/>
                <w:kern w:val="0"/>
                <w:sz w:val="24"/>
                <w:szCs w:val="24"/>
              </w:rPr>
              <w:t>min)</w:t>
            </w:r>
          </w:p>
        </w:tc>
        <w:tc>
          <w:tcPr>
            <w:tcW w:w="2637" w:type="dxa"/>
            <w:tcBorders>
              <w:top w:val="single" w:sz="4" w:space="0" w:color="auto"/>
            </w:tcBorders>
          </w:tcPr>
          <w:p w:rsidR="007A5BD9" w:rsidRPr="00367F0A" w:rsidRDefault="006F57AF">
            <w:pPr>
              <w:spacing w:after="0" w:line="240" w:lineRule="auto"/>
              <w:contextualSpacing/>
              <w:rPr>
                <w:rStyle w:val="ac"/>
                <w:rFonts w:ascii="Times New Roman" w:eastAsia="宋体" w:hAnsi="Times New Roman" w:cs="Times New Roman"/>
                <w:kern w:val="0"/>
                <w:sz w:val="24"/>
                <w:szCs w:val="24"/>
              </w:rPr>
            </w:pPr>
            <w:r w:rsidRPr="00367F0A">
              <w:rPr>
                <w:rFonts w:ascii="Times New Roman" w:eastAsia="宋体" w:hAnsi="Times New Roman" w:cs="Times New Roman"/>
                <w:sz w:val="24"/>
                <w:szCs w:val="24"/>
              </w:rPr>
              <w:t>常规剂量，</w:t>
            </w:r>
            <w:r w:rsidR="002A6C02" w:rsidRPr="00367F0A">
              <w:rPr>
                <w:rFonts w:ascii="Times New Roman" w:eastAsia="宋体" w:hAnsi="Times New Roman" w:cs="Times New Roman"/>
                <w:sz w:val="24"/>
                <w:szCs w:val="24"/>
              </w:rPr>
              <w:t>1</w:t>
            </w:r>
            <w:r w:rsidRPr="00367F0A">
              <w:rPr>
                <w:rFonts w:ascii="Times New Roman" w:eastAsia="宋体" w:hAnsi="Times New Roman" w:cs="Times New Roman"/>
                <w:sz w:val="24"/>
                <w:szCs w:val="24"/>
              </w:rPr>
              <w:t>日</w:t>
            </w:r>
            <w:r w:rsidR="002A6C02" w:rsidRPr="00367F0A">
              <w:rPr>
                <w:rFonts w:ascii="Times New Roman" w:eastAsia="宋体" w:hAnsi="Times New Roman" w:cs="Times New Roman"/>
                <w:sz w:val="24"/>
                <w:szCs w:val="24"/>
              </w:rPr>
              <w:t>2</w:t>
            </w:r>
            <w:r w:rsidRPr="00367F0A">
              <w:rPr>
                <w:rFonts w:ascii="Times New Roman" w:eastAsia="宋体" w:hAnsi="Times New Roman" w:cs="Times New Roman"/>
                <w:sz w:val="24"/>
                <w:szCs w:val="24"/>
              </w:rPr>
              <w:t>次，</w:t>
            </w:r>
            <w:r w:rsidRPr="00367F0A">
              <w:rPr>
                <w:rFonts w:ascii="Times New Roman" w:eastAsia="宋体" w:hAnsi="Times New Roman" w:cs="Times New Roman"/>
                <w:sz w:val="24"/>
                <w:szCs w:val="24"/>
              </w:rPr>
              <w:t>3</w:t>
            </w:r>
            <w:r w:rsidR="002A6C02" w:rsidRPr="00367F0A">
              <w:rPr>
                <w:rFonts w:ascii="Times New Roman" w:eastAsia="宋体" w:hAnsi="Times New Roman" w:cs="Times New Roman"/>
                <w:sz w:val="24"/>
                <w:szCs w:val="24"/>
              </w:rPr>
              <w:t>～</w:t>
            </w:r>
            <w:r w:rsidRPr="00367F0A">
              <w:rPr>
                <w:rFonts w:ascii="Times New Roman" w:eastAsia="宋体" w:hAnsi="Times New Roman" w:cs="Times New Roman"/>
                <w:sz w:val="24"/>
                <w:szCs w:val="24"/>
              </w:rPr>
              <w:t>5</w:t>
            </w:r>
            <w:r w:rsidR="002A6C02" w:rsidRPr="00367F0A">
              <w:rPr>
                <w:rFonts w:ascii="Times New Roman" w:eastAsia="宋体" w:hAnsi="Times New Roman" w:cs="Times New Roman"/>
                <w:sz w:val="24"/>
                <w:szCs w:val="24"/>
              </w:rPr>
              <w:t xml:space="preserve"> d</w:t>
            </w:r>
          </w:p>
          <w:p w:rsidR="007A5BD9" w:rsidRPr="00367F0A" w:rsidRDefault="007A5BD9">
            <w:pPr>
              <w:spacing w:after="0" w:line="240" w:lineRule="auto"/>
              <w:contextualSpacing/>
              <w:rPr>
                <w:rFonts w:ascii="Times New Roman" w:eastAsia="宋体" w:hAnsi="Times New Roman" w:cs="Times New Roman"/>
                <w:sz w:val="24"/>
                <w:szCs w:val="24"/>
              </w:rPr>
            </w:pPr>
          </w:p>
        </w:tc>
      </w:tr>
      <w:tr w:rsidR="007A5BD9" w:rsidRPr="00367F0A" w:rsidTr="002A6C02">
        <w:tc>
          <w:tcPr>
            <w:tcW w:w="2802" w:type="dxa"/>
          </w:tcPr>
          <w:p w:rsidR="007A5BD9" w:rsidRPr="00367F0A" w:rsidRDefault="006F57AF">
            <w:pPr>
              <w:spacing w:after="0" w:line="240" w:lineRule="auto"/>
              <w:rPr>
                <w:rFonts w:ascii="Times New Roman" w:eastAsia="宋体" w:hAnsi="Times New Roman" w:cs="Times New Roman"/>
                <w:sz w:val="24"/>
                <w:szCs w:val="24"/>
              </w:rPr>
            </w:pPr>
            <w:r w:rsidRPr="00367F0A">
              <w:rPr>
                <w:rFonts w:ascii="Times New Roman" w:eastAsia="宋体" w:hAnsi="Times New Roman" w:cs="Times New Roman"/>
                <w:sz w:val="24"/>
                <w:szCs w:val="24"/>
              </w:rPr>
              <w:t>人工溃疡延迟愈合</w:t>
            </w:r>
          </w:p>
        </w:tc>
        <w:tc>
          <w:tcPr>
            <w:tcW w:w="3402" w:type="dxa"/>
          </w:tcPr>
          <w:p w:rsidR="007A5BD9" w:rsidRPr="00367F0A" w:rsidRDefault="006F57AF">
            <w:pPr>
              <w:spacing w:after="0" w:line="240" w:lineRule="auto"/>
              <w:rPr>
                <w:rFonts w:ascii="Times New Roman" w:eastAsia="宋体" w:hAnsi="Times New Roman" w:cs="Times New Roman"/>
                <w:sz w:val="24"/>
                <w:szCs w:val="24"/>
              </w:rPr>
            </w:pPr>
            <w:r w:rsidRPr="00367F0A">
              <w:rPr>
                <w:rFonts w:ascii="Times New Roman" w:eastAsia="宋体" w:hAnsi="Times New Roman" w:cs="Times New Roman"/>
                <w:sz w:val="24"/>
                <w:szCs w:val="24"/>
              </w:rPr>
              <w:t>切除标本直径</w:t>
            </w:r>
            <w:r w:rsidR="002A6C02" w:rsidRPr="00367F0A">
              <w:rPr>
                <w:rFonts w:ascii="Times New Roman" w:eastAsia="宋体" w:hAnsi="Times New Roman" w:cs="Times New Roman"/>
                <w:sz w:val="24"/>
                <w:szCs w:val="24"/>
              </w:rPr>
              <w:t>&gt;</w:t>
            </w:r>
            <w:r w:rsidRPr="00367F0A">
              <w:rPr>
                <w:rFonts w:ascii="Times New Roman" w:eastAsia="宋体" w:hAnsi="Times New Roman" w:cs="Times New Roman"/>
                <w:sz w:val="24"/>
                <w:szCs w:val="24"/>
              </w:rPr>
              <w:t>40</w:t>
            </w:r>
            <w:r w:rsidR="002A6C02" w:rsidRPr="00367F0A">
              <w:rPr>
                <w:rFonts w:ascii="Times New Roman" w:eastAsia="宋体" w:hAnsi="Times New Roman" w:cs="Times New Roman"/>
                <w:sz w:val="24"/>
                <w:szCs w:val="24"/>
              </w:rPr>
              <w:t xml:space="preserve"> </w:t>
            </w:r>
            <w:r w:rsidRPr="00367F0A">
              <w:rPr>
                <w:rFonts w:ascii="Times New Roman" w:eastAsia="宋体" w:hAnsi="Times New Roman" w:cs="Times New Roman"/>
                <w:sz w:val="24"/>
                <w:szCs w:val="24"/>
              </w:rPr>
              <w:t>mm</w:t>
            </w:r>
          </w:p>
          <w:p w:rsidR="007A5BD9" w:rsidRPr="00367F0A" w:rsidRDefault="006F57AF">
            <w:pPr>
              <w:spacing w:after="0" w:line="240" w:lineRule="auto"/>
              <w:rPr>
                <w:rFonts w:ascii="Times New Roman" w:eastAsia="宋体" w:hAnsi="Times New Roman" w:cs="Times New Roman"/>
                <w:sz w:val="24"/>
                <w:szCs w:val="24"/>
              </w:rPr>
            </w:pPr>
            <w:r w:rsidRPr="00367F0A">
              <w:rPr>
                <w:rFonts w:ascii="Times New Roman" w:eastAsia="宋体" w:hAnsi="Times New Roman" w:cs="Times New Roman"/>
                <w:sz w:val="24"/>
                <w:szCs w:val="24"/>
              </w:rPr>
              <w:t>术中反复电凝止血</w:t>
            </w:r>
          </w:p>
          <w:p w:rsidR="007A5BD9" w:rsidRPr="00367F0A" w:rsidRDefault="006F57AF">
            <w:pPr>
              <w:spacing w:after="0" w:line="240" w:lineRule="auto"/>
              <w:rPr>
                <w:rFonts w:ascii="Times New Roman" w:eastAsia="宋体" w:hAnsi="Times New Roman" w:cs="Times New Roman"/>
                <w:sz w:val="24"/>
                <w:szCs w:val="24"/>
              </w:rPr>
            </w:pPr>
            <w:r w:rsidRPr="00367F0A">
              <w:rPr>
                <w:rFonts w:ascii="Times New Roman" w:eastAsia="宋体" w:hAnsi="Times New Roman" w:cs="Times New Roman"/>
                <w:sz w:val="24"/>
                <w:szCs w:val="24"/>
              </w:rPr>
              <w:t>凝血功能异常</w:t>
            </w:r>
          </w:p>
          <w:p w:rsidR="007A5BD9" w:rsidRPr="00367F0A" w:rsidRDefault="006F57AF">
            <w:pPr>
              <w:spacing w:after="0" w:line="240" w:lineRule="auto"/>
              <w:rPr>
                <w:rFonts w:ascii="Times New Roman" w:eastAsia="宋体" w:hAnsi="Times New Roman" w:cs="Times New Roman"/>
                <w:sz w:val="24"/>
                <w:szCs w:val="24"/>
              </w:rPr>
            </w:pPr>
            <w:r w:rsidRPr="00367F0A">
              <w:rPr>
                <w:rFonts w:ascii="Times New Roman" w:eastAsia="宋体" w:hAnsi="Times New Roman" w:cs="Times New Roman"/>
                <w:sz w:val="24"/>
                <w:szCs w:val="24"/>
              </w:rPr>
              <w:t>合并糖尿病</w:t>
            </w:r>
          </w:p>
        </w:tc>
        <w:tc>
          <w:tcPr>
            <w:tcW w:w="2637" w:type="dxa"/>
          </w:tcPr>
          <w:p w:rsidR="007A5BD9" w:rsidRPr="00367F0A" w:rsidRDefault="006F57AF">
            <w:pPr>
              <w:spacing w:after="0" w:line="240" w:lineRule="auto"/>
              <w:rPr>
                <w:rFonts w:ascii="Times New Roman" w:eastAsia="宋体" w:hAnsi="Times New Roman" w:cs="Times New Roman"/>
                <w:sz w:val="24"/>
                <w:szCs w:val="24"/>
              </w:rPr>
            </w:pPr>
            <w:r w:rsidRPr="00367F0A">
              <w:rPr>
                <w:rFonts w:ascii="Times New Roman" w:eastAsia="宋体" w:hAnsi="Times New Roman" w:cs="Times New Roman"/>
                <w:sz w:val="24"/>
                <w:szCs w:val="24"/>
              </w:rPr>
              <w:t>存在一个以上危险因素序贯口服</w:t>
            </w:r>
            <w:r w:rsidRPr="00367F0A">
              <w:rPr>
                <w:rFonts w:ascii="Times New Roman" w:eastAsia="宋体" w:hAnsi="Times New Roman" w:cs="Times New Roman"/>
                <w:sz w:val="24"/>
                <w:szCs w:val="24"/>
              </w:rPr>
              <w:t>PPI</w:t>
            </w:r>
            <w:r w:rsidRPr="00367F0A">
              <w:rPr>
                <w:rFonts w:ascii="Times New Roman" w:eastAsia="宋体" w:hAnsi="Times New Roman" w:cs="Times New Roman"/>
                <w:sz w:val="24"/>
                <w:szCs w:val="24"/>
              </w:rPr>
              <w:t>＞</w:t>
            </w:r>
            <w:r w:rsidRPr="00367F0A">
              <w:rPr>
                <w:rFonts w:ascii="Times New Roman" w:eastAsia="宋体" w:hAnsi="Times New Roman" w:cs="Times New Roman"/>
                <w:sz w:val="24"/>
                <w:szCs w:val="24"/>
              </w:rPr>
              <w:t>4</w:t>
            </w:r>
            <w:r w:rsidRPr="00367F0A">
              <w:rPr>
                <w:rFonts w:ascii="Times New Roman" w:eastAsia="宋体" w:hAnsi="Times New Roman" w:cs="Times New Roman"/>
                <w:sz w:val="24"/>
                <w:szCs w:val="24"/>
              </w:rPr>
              <w:t>周</w:t>
            </w:r>
          </w:p>
        </w:tc>
      </w:tr>
    </w:tbl>
    <w:p w:rsidR="007A5BD9" w:rsidRDefault="007A5BD9">
      <w:pPr>
        <w:rPr>
          <w:rFonts w:ascii="微软雅黑" w:eastAsia="微软雅黑" w:hAnsi="微软雅黑" w:cs="宋体"/>
          <w:b/>
          <w:sz w:val="24"/>
        </w:rPr>
      </w:pPr>
    </w:p>
    <w:p w:rsidR="007A5BD9" w:rsidRPr="0019434E" w:rsidRDefault="0019434E">
      <w:pPr>
        <w:rPr>
          <w:rFonts w:ascii="Times New Roman" w:eastAsia="黑体" w:hAnsi="Times New Roman" w:cs="Times New Roman"/>
          <w:sz w:val="24"/>
          <w:szCs w:val="24"/>
        </w:rPr>
      </w:pPr>
      <w:r w:rsidRPr="0019434E">
        <w:rPr>
          <w:rFonts w:ascii="Times New Roman" w:eastAsia="黑体" w:hAnsi="Times New Roman" w:cs="Times New Roman"/>
          <w:sz w:val="24"/>
          <w:szCs w:val="24"/>
        </w:rPr>
        <w:t xml:space="preserve">3    </w:t>
      </w:r>
      <w:r w:rsidR="006F57AF" w:rsidRPr="0019434E">
        <w:rPr>
          <w:rFonts w:ascii="Times New Roman" w:eastAsia="黑体" w:hAnsi="Times New Roman" w:cs="Times New Roman"/>
          <w:sz w:val="24"/>
          <w:szCs w:val="24"/>
        </w:rPr>
        <w:t>PPI</w:t>
      </w:r>
      <w:r w:rsidR="006F57AF" w:rsidRPr="0019434E">
        <w:rPr>
          <w:rFonts w:ascii="Times New Roman" w:eastAsia="黑体" w:hAnsi="Times New Roman" w:cs="Times New Roman"/>
          <w:sz w:val="24"/>
          <w:szCs w:val="24"/>
        </w:rPr>
        <w:t>处方精简</w:t>
      </w:r>
    </w:p>
    <w:p w:rsidR="007A5BD9" w:rsidRPr="000D0BF4" w:rsidRDefault="006F57AF" w:rsidP="000D0BF4">
      <w:pPr>
        <w:spacing w:after="0"/>
        <w:ind w:firstLineChars="200" w:firstLine="480"/>
        <w:jc w:val="both"/>
        <w:rPr>
          <w:rFonts w:ascii="Times New Roman" w:eastAsia="宋体" w:hAnsi="Times New Roman" w:cs="Times New Roman"/>
          <w:sz w:val="24"/>
          <w:szCs w:val="24"/>
        </w:rPr>
      </w:pPr>
      <w:r w:rsidRPr="000D0BF4">
        <w:rPr>
          <w:rFonts w:ascii="Times New Roman" w:eastAsia="宋体" w:hAnsi="Times New Roman" w:cs="Times New Roman"/>
          <w:sz w:val="24"/>
          <w:szCs w:val="24"/>
        </w:rPr>
        <w:t>多重用药及无适应证用药不仅增加药物不良反应风险</w:t>
      </w:r>
      <w:r w:rsidR="000D0BF4" w:rsidRPr="000D0BF4">
        <w:rPr>
          <w:rFonts w:ascii="Times New Roman" w:eastAsia="宋体" w:hAnsi="Times New Roman" w:cs="Times New Roman"/>
          <w:sz w:val="24"/>
          <w:szCs w:val="24"/>
        </w:rPr>
        <w:t>，</w:t>
      </w:r>
      <w:r w:rsidRPr="000D0BF4">
        <w:rPr>
          <w:rFonts w:ascii="Times New Roman" w:eastAsia="宋体" w:hAnsi="Times New Roman" w:cs="Times New Roman"/>
          <w:sz w:val="24"/>
          <w:szCs w:val="24"/>
        </w:rPr>
        <w:t>还会增加患者的医疗负担</w:t>
      </w:r>
      <w:r w:rsidR="000D0BF4" w:rsidRPr="000D0BF4">
        <w:rPr>
          <w:rFonts w:ascii="Times New Roman" w:eastAsia="宋体" w:hAnsi="Times New Roman" w:cs="Times New Roman"/>
          <w:sz w:val="24"/>
          <w:szCs w:val="24"/>
        </w:rPr>
        <w:t>。</w:t>
      </w:r>
      <w:r w:rsidRPr="000D0BF4">
        <w:rPr>
          <w:rFonts w:ascii="Times New Roman" w:eastAsia="宋体" w:hAnsi="Times New Roman" w:cs="Times New Roman"/>
          <w:sz w:val="24"/>
          <w:szCs w:val="24"/>
        </w:rPr>
        <w:t>研究显示，约</w:t>
      </w:r>
      <w:r w:rsidRPr="000D0BF4">
        <w:rPr>
          <w:rFonts w:ascii="Times New Roman" w:eastAsia="宋体" w:hAnsi="Times New Roman" w:cs="Times New Roman"/>
          <w:sz w:val="24"/>
          <w:szCs w:val="24"/>
        </w:rPr>
        <w:t>60</w:t>
      </w:r>
      <w:r w:rsidR="005439CD" w:rsidRPr="000D0BF4">
        <w:rPr>
          <w:rFonts w:ascii="Times New Roman" w:eastAsia="宋体" w:hAnsi="Times New Roman" w:cs="Times New Roman"/>
          <w:sz w:val="24"/>
          <w:szCs w:val="24"/>
        </w:rPr>
        <w:t>%</w:t>
      </w:r>
      <w:r w:rsidRPr="000D0BF4">
        <w:rPr>
          <w:rFonts w:ascii="Times New Roman" w:eastAsia="宋体" w:hAnsi="Times New Roman" w:cs="Times New Roman"/>
          <w:sz w:val="24"/>
          <w:szCs w:val="24"/>
        </w:rPr>
        <w:t>从</w:t>
      </w:r>
      <w:r w:rsidRPr="000D0BF4">
        <w:rPr>
          <w:rFonts w:ascii="Times New Roman" w:eastAsia="宋体" w:hAnsi="Times New Roman" w:cs="Times New Roman"/>
          <w:sz w:val="24"/>
          <w:szCs w:val="24"/>
        </w:rPr>
        <w:t>ICU</w:t>
      </w:r>
      <w:r w:rsidRPr="000D0BF4">
        <w:rPr>
          <w:rFonts w:ascii="Times New Roman" w:eastAsia="宋体" w:hAnsi="Times New Roman" w:cs="Times New Roman"/>
          <w:sz w:val="24"/>
          <w:szCs w:val="24"/>
        </w:rPr>
        <w:t>转出的患者，以及约</w:t>
      </w:r>
      <w:r w:rsidRPr="000D0BF4">
        <w:rPr>
          <w:rFonts w:ascii="Times New Roman" w:eastAsia="宋体" w:hAnsi="Times New Roman" w:cs="Times New Roman"/>
          <w:sz w:val="24"/>
          <w:szCs w:val="24"/>
        </w:rPr>
        <w:t>35</w:t>
      </w:r>
      <w:r w:rsidR="005439CD" w:rsidRPr="000D0BF4">
        <w:rPr>
          <w:rFonts w:ascii="Times New Roman" w:eastAsia="宋体" w:hAnsi="Times New Roman" w:cs="Times New Roman"/>
          <w:sz w:val="24"/>
          <w:szCs w:val="24"/>
        </w:rPr>
        <w:t>%</w:t>
      </w:r>
      <w:r w:rsidRPr="000D0BF4">
        <w:rPr>
          <w:rFonts w:ascii="Times New Roman" w:eastAsia="宋体" w:hAnsi="Times New Roman" w:cs="Times New Roman"/>
          <w:sz w:val="24"/>
          <w:szCs w:val="24"/>
        </w:rPr>
        <w:t>出院的患者，均无适应证使用抑酸剂</w:t>
      </w:r>
      <w:r w:rsidR="000D0BF4" w:rsidRPr="000D0BF4">
        <w:rPr>
          <w:rFonts w:ascii="Times New Roman" w:eastAsia="宋体" w:hAnsi="Times New Roman" w:cs="Times New Roman"/>
          <w:sz w:val="24"/>
          <w:szCs w:val="24"/>
          <w:vertAlign w:val="superscript"/>
        </w:rPr>
        <w:t>[47]</w:t>
      </w:r>
      <w:r w:rsidRPr="000D0BF4">
        <w:rPr>
          <w:rFonts w:ascii="Times New Roman" w:eastAsia="宋体" w:hAnsi="Times New Roman" w:cs="Times New Roman"/>
          <w:sz w:val="24"/>
          <w:szCs w:val="24"/>
        </w:rPr>
        <w:t>。随着</w:t>
      </w:r>
      <w:r w:rsidRPr="000D0BF4">
        <w:rPr>
          <w:rFonts w:ascii="Times New Roman" w:eastAsia="宋体" w:hAnsi="Times New Roman" w:cs="Times New Roman"/>
          <w:sz w:val="24"/>
          <w:szCs w:val="24"/>
        </w:rPr>
        <w:t>PPI</w:t>
      </w:r>
      <w:r w:rsidRPr="000D0BF4">
        <w:rPr>
          <w:rFonts w:ascii="Times New Roman" w:eastAsia="宋体" w:hAnsi="Times New Roman" w:cs="Times New Roman"/>
          <w:sz w:val="24"/>
          <w:szCs w:val="24"/>
        </w:rPr>
        <w:t>的全球性广泛使用，长期安全性备受学术界关注，大量非随机对照研究得出的异质性结论让临床医师倍感困惑。</w:t>
      </w:r>
    </w:p>
    <w:p w:rsidR="007A5BD9" w:rsidRPr="002573FD" w:rsidRDefault="006F57AF" w:rsidP="000D0BF4">
      <w:pPr>
        <w:spacing w:after="0" w:line="276" w:lineRule="auto"/>
        <w:ind w:firstLineChars="200" w:firstLine="480"/>
        <w:contextualSpacing/>
        <w:jc w:val="both"/>
        <w:rPr>
          <w:rFonts w:ascii="Times New Roman" w:eastAsia="宋体" w:hAnsi="Times New Roman" w:cs="Times New Roman"/>
          <w:sz w:val="24"/>
          <w:szCs w:val="24"/>
        </w:rPr>
      </w:pPr>
      <w:r w:rsidRPr="002573FD">
        <w:rPr>
          <w:rFonts w:ascii="Times New Roman" w:eastAsia="宋体" w:hAnsi="Times New Roman" w:cs="Times New Roman"/>
          <w:sz w:val="24"/>
          <w:szCs w:val="24"/>
        </w:rPr>
        <w:lastRenderedPageBreak/>
        <w:t>2017</w:t>
      </w:r>
      <w:r w:rsidRPr="002573FD">
        <w:rPr>
          <w:rFonts w:ascii="Times New Roman" w:eastAsia="宋体" w:hAnsi="Times New Roman" w:cs="Times New Roman"/>
          <w:sz w:val="24"/>
          <w:szCs w:val="24"/>
        </w:rPr>
        <w:t>美国胃肠病学会（</w:t>
      </w:r>
      <w:r w:rsidRPr="002573FD">
        <w:rPr>
          <w:rFonts w:ascii="Times New Roman" w:eastAsia="宋体" w:hAnsi="Times New Roman" w:cs="Times New Roman"/>
          <w:sz w:val="24"/>
          <w:szCs w:val="24"/>
        </w:rPr>
        <w:t>AGA</w:t>
      </w:r>
      <w:r w:rsidRPr="002573FD">
        <w:rPr>
          <w:rFonts w:ascii="Times New Roman" w:eastAsia="宋体" w:hAnsi="Times New Roman" w:cs="Times New Roman"/>
          <w:sz w:val="24"/>
          <w:szCs w:val="24"/>
        </w:rPr>
        <w:t>）组织专家综述了长期使用</w:t>
      </w:r>
      <w:r w:rsidRPr="002573FD">
        <w:rPr>
          <w:rFonts w:ascii="Times New Roman" w:eastAsia="宋体" w:hAnsi="Times New Roman" w:cs="Times New Roman"/>
          <w:sz w:val="24"/>
          <w:szCs w:val="24"/>
        </w:rPr>
        <w:t>PPI</w:t>
      </w:r>
      <w:r w:rsidRPr="002573FD">
        <w:rPr>
          <w:rFonts w:ascii="Times New Roman" w:eastAsia="宋体" w:hAnsi="Times New Roman" w:cs="Times New Roman"/>
          <w:sz w:val="24"/>
          <w:szCs w:val="24"/>
        </w:rPr>
        <w:t>的风险和获益，需长期使用</w:t>
      </w:r>
      <w:r w:rsidRPr="002573FD">
        <w:rPr>
          <w:rFonts w:ascii="Times New Roman" w:eastAsia="宋体" w:hAnsi="Times New Roman" w:cs="Times New Roman"/>
          <w:sz w:val="24"/>
          <w:szCs w:val="24"/>
        </w:rPr>
        <w:t xml:space="preserve"> PPI </w:t>
      </w:r>
      <w:r w:rsidRPr="002573FD">
        <w:rPr>
          <w:rFonts w:ascii="Times New Roman" w:eastAsia="宋体" w:hAnsi="Times New Roman" w:cs="Times New Roman"/>
          <w:sz w:val="24"/>
          <w:szCs w:val="24"/>
        </w:rPr>
        <w:t>治疗的疾病主要有胃食管反流病（</w:t>
      </w:r>
      <w:r w:rsidRPr="002573FD">
        <w:rPr>
          <w:rFonts w:ascii="Times New Roman" w:eastAsia="宋体" w:hAnsi="Times New Roman" w:cs="Times New Roman"/>
          <w:sz w:val="24"/>
          <w:szCs w:val="24"/>
        </w:rPr>
        <w:t>GERD</w:t>
      </w:r>
      <w:r w:rsidRPr="002573FD">
        <w:rPr>
          <w:rFonts w:ascii="Times New Roman" w:eastAsia="宋体" w:hAnsi="Times New Roman" w:cs="Times New Roman"/>
          <w:sz w:val="24"/>
          <w:szCs w:val="24"/>
        </w:rPr>
        <w:t>）、</w:t>
      </w:r>
      <w:r w:rsidRPr="002573FD">
        <w:rPr>
          <w:rFonts w:ascii="Times New Roman" w:eastAsia="宋体" w:hAnsi="Times New Roman" w:cs="Times New Roman"/>
          <w:sz w:val="24"/>
          <w:szCs w:val="24"/>
        </w:rPr>
        <w:t>Barrett</w:t>
      </w:r>
      <w:proofErr w:type="gramStart"/>
      <w:r w:rsidR="002573FD" w:rsidRPr="002573FD">
        <w:rPr>
          <w:rFonts w:ascii="Times New Roman" w:eastAsia="宋体" w:hAnsi="Times New Roman" w:cs="Times New Roman"/>
          <w:sz w:val="24"/>
          <w:szCs w:val="24"/>
        </w:rPr>
        <w:t>’</w:t>
      </w:r>
      <w:proofErr w:type="gramEnd"/>
      <w:r w:rsidRPr="002573FD">
        <w:rPr>
          <w:rFonts w:ascii="Times New Roman" w:eastAsia="宋体" w:hAnsi="Times New Roman" w:cs="Times New Roman"/>
          <w:sz w:val="24"/>
          <w:szCs w:val="24"/>
        </w:rPr>
        <w:t xml:space="preserve">s </w:t>
      </w:r>
      <w:r w:rsidRPr="002573FD">
        <w:rPr>
          <w:rFonts w:ascii="Times New Roman" w:eastAsia="宋体" w:hAnsi="Times New Roman" w:cs="Times New Roman"/>
          <w:sz w:val="24"/>
          <w:szCs w:val="24"/>
        </w:rPr>
        <w:t>食管炎和预防非</w:t>
      </w:r>
      <w:proofErr w:type="gramStart"/>
      <w:r w:rsidRPr="002573FD">
        <w:rPr>
          <w:rFonts w:ascii="Times New Roman" w:eastAsia="宋体" w:hAnsi="Times New Roman" w:cs="Times New Roman"/>
          <w:sz w:val="24"/>
          <w:szCs w:val="24"/>
        </w:rPr>
        <w:t>甾</w:t>
      </w:r>
      <w:proofErr w:type="gramEnd"/>
      <w:r w:rsidRPr="002573FD">
        <w:rPr>
          <w:rFonts w:ascii="Times New Roman" w:eastAsia="宋体" w:hAnsi="Times New Roman" w:cs="Times New Roman"/>
          <w:sz w:val="24"/>
          <w:szCs w:val="24"/>
        </w:rPr>
        <w:t>体类抗炎药（</w:t>
      </w:r>
      <w:r w:rsidRPr="002573FD">
        <w:rPr>
          <w:rFonts w:ascii="Times New Roman" w:eastAsia="宋体" w:hAnsi="Times New Roman" w:cs="Times New Roman"/>
          <w:sz w:val="24"/>
          <w:szCs w:val="24"/>
        </w:rPr>
        <w:t>NSAIDs</w:t>
      </w:r>
      <w:r w:rsidRPr="002573FD">
        <w:rPr>
          <w:rFonts w:ascii="Times New Roman" w:eastAsia="宋体" w:hAnsi="Times New Roman" w:cs="Times New Roman"/>
          <w:sz w:val="24"/>
          <w:szCs w:val="24"/>
        </w:rPr>
        <w:t>）引起的溃疡相关出血等。目前可以减轻长期</w:t>
      </w:r>
      <w:r w:rsidRPr="002573FD">
        <w:rPr>
          <w:rFonts w:ascii="Times New Roman" w:eastAsia="宋体" w:hAnsi="Times New Roman" w:cs="Times New Roman"/>
          <w:sz w:val="24"/>
          <w:szCs w:val="24"/>
        </w:rPr>
        <w:t>PPI</w:t>
      </w:r>
      <w:r w:rsidRPr="002573FD">
        <w:rPr>
          <w:rFonts w:ascii="Times New Roman" w:eastAsia="宋体" w:hAnsi="Times New Roman" w:cs="Times New Roman"/>
          <w:sz w:val="24"/>
          <w:szCs w:val="24"/>
        </w:rPr>
        <w:t>使用潜在风险的最佳方案仍是严格掌握用药指征，确需用药时最好能减到最小效应剂量。临床上需权衡长期使用</w:t>
      </w:r>
      <w:r w:rsidRPr="002573FD">
        <w:rPr>
          <w:rFonts w:ascii="Times New Roman" w:eastAsia="宋体" w:hAnsi="Times New Roman" w:cs="Times New Roman"/>
          <w:sz w:val="24"/>
          <w:szCs w:val="24"/>
        </w:rPr>
        <w:t>PPI</w:t>
      </w:r>
      <w:r w:rsidRPr="002573FD">
        <w:rPr>
          <w:rFonts w:ascii="Times New Roman" w:eastAsia="宋体" w:hAnsi="Times New Roman" w:cs="Times New Roman"/>
          <w:sz w:val="24"/>
          <w:szCs w:val="24"/>
        </w:rPr>
        <w:t>的利弊，合理使用</w:t>
      </w:r>
      <w:bookmarkStart w:id="8" w:name="_Hlk536555514"/>
      <w:r w:rsidRPr="002573FD">
        <w:rPr>
          <w:rFonts w:ascii="Times New Roman" w:eastAsia="宋体" w:hAnsi="Times New Roman" w:cs="Times New Roman"/>
          <w:sz w:val="24"/>
          <w:szCs w:val="24"/>
        </w:rPr>
        <w:t>PPI</w:t>
      </w:r>
      <w:r w:rsidRPr="000D0BF4">
        <w:rPr>
          <w:rFonts w:ascii="Times New Roman" w:eastAsia="宋体" w:hAnsi="Times New Roman" w:cs="Times New Roman"/>
          <w:sz w:val="24"/>
          <w:szCs w:val="24"/>
          <w:vertAlign w:val="superscript"/>
        </w:rPr>
        <w:t>[48]</w:t>
      </w:r>
      <w:bookmarkEnd w:id="8"/>
      <w:r w:rsidRPr="002573FD">
        <w:rPr>
          <w:rFonts w:ascii="Times New Roman" w:eastAsia="宋体" w:hAnsi="Times New Roman" w:cs="Times New Roman"/>
          <w:sz w:val="24"/>
          <w:szCs w:val="24"/>
        </w:rPr>
        <w:t>。</w:t>
      </w:r>
    </w:p>
    <w:p w:rsidR="007A5BD9" w:rsidRPr="002573FD" w:rsidRDefault="006F57AF" w:rsidP="000D0BF4">
      <w:pPr>
        <w:spacing w:line="276" w:lineRule="auto"/>
        <w:ind w:firstLineChars="200" w:firstLine="480"/>
        <w:contextualSpacing/>
        <w:jc w:val="both"/>
        <w:rPr>
          <w:rFonts w:ascii="Times New Roman" w:eastAsia="宋体" w:hAnsi="Times New Roman" w:cs="Times New Roman"/>
          <w:sz w:val="24"/>
          <w:szCs w:val="24"/>
        </w:rPr>
      </w:pPr>
      <w:r w:rsidRPr="002573FD">
        <w:rPr>
          <w:rFonts w:ascii="Times New Roman" w:eastAsia="宋体" w:hAnsi="Times New Roman" w:cs="Times New Roman"/>
          <w:sz w:val="24"/>
          <w:szCs w:val="24"/>
        </w:rPr>
        <w:t>处方精简（</w:t>
      </w:r>
      <w:proofErr w:type="spellStart"/>
      <w:r w:rsidRPr="002573FD">
        <w:rPr>
          <w:rFonts w:ascii="Times New Roman" w:eastAsia="宋体" w:hAnsi="Times New Roman" w:cs="Times New Roman"/>
          <w:sz w:val="24"/>
          <w:szCs w:val="24"/>
        </w:rPr>
        <w:t>Deprescribing</w:t>
      </w:r>
      <w:proofErr w:type="spellEnd"/>
      <w:r w:rsidRPr="002573FD">
        <w:rPr>
          <w:rFonts w:ascii="Times New Roman" w:eastAsia="宋体" w:hAnsi="Times New Roman" w:cs="Times New Roman"/>
          <w:sz w:val="24"/>
          <w:szCs w:val="24"/>
        </w:rPr>
        <w:t>），是指对可能导致患者损害或患者不再获益的用药，减少该药剂量或停用该药的计划和管理过程；其目标是减少用药负担和损害，同时维持或提高生活质量。处方精简是良好处方行为的一个组成部分，减少过高的用药剂量，或停用不再需要的药物。处方精简的主要方式包括停药、换药和减少用药剂量</w:t>
      </w:r>
      <w:r w:rsidRPr="002573FD">
        <w:rPr>
          <w:rFonts w:ascii="Times New Roman" w:eastAsia="宋体" w:hAnsi="Times New Roman" w:cs="Times New Roman"/>
          <w:sz w:val="24"/>
          <w:szCs w:val="24"/>
          <w:vertAlign w:val="superscript"/>
        </w:rPr>
        <w:t>[49]</w:t>
      </w:r>
      <w:r w:rsidRPr="002573FD">
        <w:rPr>
          <w:rFonts w:ascii="Times New Roman" w:eastAsia="宋体" w:hAnsi="Times New Roman" w:cs="Times New Roman"/>
          <w:sz w:val="24"/>
          <w:szCs w:val="24"/>
        </w:rPr>
        <w:t>。</w:t>
      </w:r>
      <w:r w:rsidRPr="002573FD">
        <w:rPr>
          <w:rFonts w:ascii="Times New Roman" w:eastAsia="宋体" w:hAnsi="Times New Roman" w:cs="Times New Roman"/>
          <w:sz w:val="24"/>
          <w:szCs w:val="24"/>
        </w:rPr>
        <w:t>2017</w:t>
      </w:r>
      <w:r w:rsidRPr="002573FD">
        <w:rPr>
          <w:rFonts w:ascii="Times New Roman" w:eastAsia="宋体" w:hAnsi="Times New Roman" w:cs="Times New Roman"/>
          <w:sz w:val="24"/>
          <w:szCs w:val="24"/>
        </w:rPr>
        <w:t>年加拿大多个学会联合发布了</w:t>
      </w:r>
      <w:r w:rsidR="005439CD">
        <w:rPr>
          <w:rFonts w:ascii="Times New Roman" w:eastAsia="宋体" w:hAnsi="Times New Roman" w:cs="Times New Roman" w:hint="eastAsia"/>
          <w:sz w:val="24"/>
          <w:szCs w:val="24"/>
        </w:rPr>
        <w:t>1</w:t>
      </w:r>
      <w:r w:rsidRPr="002573FD">
        <w:rPr>
          <w:rFonts w:ascii="Times New Roman" w:eastAsia="宋体" w:hAnsi="Times New Roman" w:cs="Times New Roman"/>
          <w:sz w:val="24"/>
          <w:szCs w:val="24"/>
        </w:rPr>
        <w:t>项</w:t>
      </w:r>
      <w:r w:rsidRPr="002573FD">
        <w:rPr>
          <w:rFonts w:ascii="Times New Roman" w:eastAsia="宋体" w:hAnsi="Times New Roman" w:cs="Times New Roman"/>
          <w:sz w:val="24"/>
          <w:szCs w:val="24"/>
        </w:rPr>
        <w:t>PPI</w:t>
      </w:r>
      <w:r w:rsidRPr="002573FD">
        <w:rPr>
          <w:rFonts w:ascii="Times New Roman" w:eastAsia="宋体" w:hAnsi="Times New Roman" w:cs="Times New Roman"/>
          <w:sz w:val="24"/>
          <w:szCs w:val="24"/>
        </w:rPr>
        <w:t>处方精简指南，为临床治疗性使用</w:t>
      </w:r>
      <w:r w:rsidRPr="002573FD">
        <w:rPr>
          <w:rFonts w:ascii="Times New Roman" w:eastAsia="宋体" w:hAnsi="Times New Roman" w:cs="Times New Roman"/>
          <w:sz w:val="24"/>
          <w:szCs w:val="24"/>
        </w:rPr>
        <w:t>PPI</w:t>
      </w:r>
      <w:r w:rsidRPr="002573FD">
        <w:rPr>
          <w:rFonts w:ascii="Times New Roman" w:eastAsia="宋体" w:hAnsi="Times New Roman" w:cs="Times New Roman"/>
          <w:sz w:val="24"/>
          <w:szCs w:val="24"/>
        </w:rPr>
        <w:t>提供精简流程和指导，用于帮助临床医师何时、如何对</w:t>
      </w:r>
      <w:r w:rsidRPr="002573FD">
        <w:rPr>
          <w:rFonts w:ascii="Times New Roman" w:eastAsia="宋体" w:hAnsi="Times New Roman" w:cs="Times New Roman"/>
          <w:sz w:val="24"/>
          <w:szCs w:val="24"/>
        </w:rPr>
        <w:t>PPI</w:t>
      </w:r>
      <w:r w:rsidRPr="002573FD">
        <w:rPr>
          <w:rFonts w:ascii="Times New Roman" w:eastAsia="宋体" w:hAnsi="Times New Roman" w:cs="Times New Roman"/>
          <w:sz w:val="24"/>
          <w:szCs w:val="24"/>
        </w:rPr>
        <w:t>进行减量或停药</w:t>
      </w:r>
      <w:r w:rsidRPr="002573FD">
        <w:rPr>
          <w:rFonts w:ascii="Times New Roman" w:eastAsia="宋体" w:hAnsi="Times New Roman" w:cs="Times New Roman"/>
          <w:sz w:val="24"/>
          <w:szCs w:val="24"/>
          <w:vertAlign w:val="superscript"/>
        </w:rPr>
        <w:t>[50]</w:t>
      </w:r>
      <w:r w:rsidRPr="002573FD">
        <w:rPr>
          <w:rFonts w:ascii="Times New Roman" w:eastAsia="宋体" w:hAnsi="Times New Roman" w:cs="Times New Roman"/>
          <w:sz w:val="24"/>
          <w:szCs w:val="24"/>
        </w:rPr>
        <w:t>。本指导意见根据前文所述预防性使用</w:t>
      </w:r>
      <w:r w:rsidRPr="002573FD">
        <w:rPr>
          <w:rFonts w:ascii="Times New Roman" w:eastAsia="宋体" w:hAnsi="Times New Roman" w:cs="Times New Roman"/>
          <w:sz w:val="24"/>
          <w:szCs w:val="24"/>
        </w:rPr>
        <w:t>PPI</w:t>
      </w:r>
      <w:r w:rsidRPr="002573FD">
        <w:rPr>
          <w:rFonts w:ascii="Times New Roman" w:eastAsia="宋体" w:hAnsi="Times New Roman" w:cs="Times New Roman"/>
          <w:sz w:val="24"/>
          <w:szCs w:val="24"/>
        </w:rPr>
        <w:t>给予处方精简流程推荐，以帮助临床医师对预防性使用</w:t>
      </w:r>
      <w:r w:rsidRPr="002573FD">
        <w:rPr>
          <w:rFonts w:ascii="Times New Roman" w:eastAsia="宋体" w:hAnsi="Times New Roman" w:cs="Times New Roman"/>
          <w:sz w:val="24"/>
          <w:szCs w:val="24"/>
        </w:rPr>
        <w:t>PPI</w:t>
      </w:r>
      <w:r w:rsidRPr="002573FD">
        <w:rPr>
          <w:rFonts w:ascii="Times New Roman" w:eastAsia="宋体" w:hAnsi="Times New Roman" w:cs="Times New Roman"/>
          <w:sz w:val="24"/>
          <w:szCs w:val="24"/>
        </w:rPr>
        <w:t>进行评估，最大限度减少不必要用药</w:t>
      </w:r>
      <w:r w:rsidR="000D0BF4">
        <w:rPr>
          <w:rFonts w:ascii="Times New Roman" w:eastAsia="宋体" w:hAnsi="Times New Roman" w:cs="Times New Roman" w:hint="eastAsia"/>
          <w:sz w:val="24"/>
          <w:szCs w:val="24"/>
        </w:rPr>
        <w:t>，见</w:t>
      </w:r>
      <w:r w:rsidRPr="002573FD">
        <w:rPr>
          <w:rFonts w:ascii="Times New Roman" w:eastAsia="宋体" w:hAnsi="Times New Roman" w:cs="Times New Roman"/>
          <w:sz w:val="24"/>
          <w:szCs w:val="24"/>
        </w:rPr>
        <w:t>图</w:t>
      </w:r>
      <w:r w:rsidRPr="002573FD">
        <w:rPr>
          <w:rFonts w:ascii="Times New Roman" w:eastAsia="宋体" w:hAnsi="Times New Roman" w:cs="Times New Roman"/>
          <w:sz w:val="24"/>
          <w:szCs w:val="24"/>
        </w:rPr>
        <w:t>1</w:t>
      </w:r>
      <w:r w:rsidRPr="002573FD">
        <w:rPr>
          <w:rFonts w:ascii="Times New Roman" w:eastAsia="宋体" w:hAnsi="Times New Roman" w:cs="Times New Roman"/>
          <w:sz w:val="24"/>
          <w:szCs w:val="24"/>
        </w:rPr>
        <w:t>。</w:t>
      </w:r>
    </w:p>
    <w:p w:rsidR="007A5BD9" w:rsidRPr="002573FD" w:rsidRDefault="007A5BD9" w:rsidP="000D0BF4">
      <w:pPr>
        <w:spacing w:line="276" w:lineRule="auto"/>
        <w:ind w:firstLineChars="200" w:firstLine="480"/>
        <w:contextualSpacing/>
        <w:jc w:val="both"/>
        <w:rPr>
          <w:rFonts w:ascii="Times New Roman" w:eastAsia="宋体" w:hAnsi="Times New Roman" w:cs="Times New Roman"/>
          <w:sz w:val="24"/>
          <w:szCs w:val="24"/>
        </w:rPr>
      </w:pPr>
    </w:p>
    <w:p w:rsidR="007A5BD9" w:rsidRDefault="003E01FA">
      <w:pPr>
        <w:jc w:val="center"/>
        <w:rPr>
          <w:rFonts w:ascii="微软雅黑" w:eastAsia="微软雅黑" w:hAnsi="微软雅黑" w:cs="宋体"/>
          <w:color w:val="0070C0"/>
          <w:sz w:val="20"/>
        </w:rPr>
      </w:pPr>
      <w:r>
        <w:rPr>
          <w:rFonts w:ascii="微软雅黑" w:eastAsia="微软雅黑" w:hAnsi="微软雅黑" w:cs="宋体"/>
          <w:noProof/>
          <w:color w:val="0070C0"/>
          <w:sz w:val="20"/>
        </w:rPr>
        <w:lastRenderedPageBreak/>
        <w:drawing>
          <wp:inline distT="0" distB="0" distL="0" distR="0">
            <wp:extent cx="5759450" cy="6277892"/>
            <wp:effectExtent l="0" t="0" r="0" b="0"/>
            <wp:docPr id="1" name="图片 1" descr="E:\专家共识\ppi处方精简\微信图片_20190709182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专家共识\ppi处方精简\微信图片_2019070918284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6277892"/>
                    </a:xfrm>
                    <a:prstGeom prst="rect">
                      <a:avLst/>
                    </a:prstGeom>
                    <a:noFill/>
                    <a:ln>
                      <a:noFill/>
                    </a:ln>
                  </pic:spPr>
                </pic:pic>
              </a:graphicData>
            </a:graphic>
          </wp:inline>
        </w:drawing>
      </w:r>
      <w:bookmarkStart w:id="9" w:name="_GoBack"/>
      <w:bookmarkEnd w:id="9"/>
    </w:p>
    <w:p w:rsidR="007A5BD9" w:rsidRPr="0019434E" w:rsidRDefault="006F57AF" w:rsidP="0019434E">
      <w:pPr>
        <w:spacing w:after="0" w:line="240" w:lineRule="auto"/>
        <w:ind w:left="360"/>
        <w:rPr>
          <w:rFonts w:ascii="黑体" w:eastAsia="黑体" w:hAnsi="黑体"/>
          <w:sz w:val="24"/>
          <w:szCs w:val="24"/>
        </w:rPr>
      </w:pPr>
      <w:r w:rsidRPr="0019434E">
        <w:rPr>
          <w:rFonts w:ascii="黑体" w:eastAsia="黑体" w:hAnsi="黑体" w:hint="eastAsia"/>
          <w:sz w:val="24"/>
          <w:szCs w:val="24"/>
        </w:rPr>
        <w:t>图1</w:t>
      </w:r>
      <w:r w:rsidR="007530BA">
        <w:rPr>
          <w:rFonts w:ascii="黑体" w:eastAsia="黑体" w:hAnsi="黑体" w:hint="eastAsia"/>
          <w:sz w:val="24"/>
          <w:szCs w:val="24"/>
        </w:rPr>
        <w:t xml:space="preserve">  </w:t>
      </w:r>
      <w:r w:rsidRPr="0019434E">
        <w:rPr>
          <w:rFonts w:ascii="黑体" w:eastAsia="黑体" w:hAnsi="黑体" w:hint="eastAsia"/>
          <w:sz w:val="24"/>
          <w:szCs w:val="24"/>
        </w:rPr>
        <w:t>预防性使用</w:t>
      </w:r>
      <w:r w:rsidRPr="00890F61">
        <w:rPr>
          <w:rFonts w:ascii="Times New Roman" w:eastAsia="黑体" w:hAnsi="Times New Roman" w:cs="Times New Roman"/>
          <w:sz w:val="24"/>
          <w:szCs w:val="24"/>
        </w:rPr>
        <w:t>PPI</w:t>
      </w:r>
      <w:r w:rsidRPr="0019434E">
        <w:rPr>
          <w:rFonts w:ascii="黑体" w:eastAsia="黑体" w:hAnsi="黑体" w:hint="eastAsia"/>
          <w:sz w:val="24"/>
          <w:szCs w:val="24"/>
        </w:rPr>
        <w:t>处方精简流程</w:t>
      </w:r>
    </w:p>
    <w:p w:rsidR="007A5BD9" w:rsidRDefault="007A5BD9">
      <w:pPr>
        <w:rPr>
          <w:rFonts w:ascii="微软雅黑" w:eastAsia="微软雅黑" w:hAnsi="微软雅黑" w:cs="宋体"/>
          <w:b/>
          <w:sz w:val="24"/>
        </w:rPr>
      </w:pPr>
    </w:p>
    <w:p w:rsidR="007A5BD9" w:rsidRPr="000D0BF4" w:rsidRDefault="000D0BF4">
      <w:pPr>
        <w:rPr>
          <w:rFonts w:ascii="黑体" w:eastAsia="黑体" w:hAnsi="黑体" w:cs="宋体"/>
          <w:bCs/>
          <w:sz w:val="24"/>
          <w:szCs w:val="24"/>
        </w:rPr>
      </w:pPr>
      <w:r w:rsidRPr="000D0BF4">
        <w:rPr>
          <w:rFonts w:ascii="黑体" w:eastAsia="黑体" w:hAnsi="黑体" w:cs="宋体" w:hint="eastAsia"/>
          <w:sz w:val="24"/>
          <w:szCs w:val="24"/>
        </w:rPr>
        <w:t>4</w:t>
      </w:r>
      <w:r w:rsidR="007530BA">
        <w:rPr>
          <w:rFonts w:ascii="黑体" w:eastAsia="黑体" w:hAnsi="黑体" w:cs="宋体" w:hint="eastAsia"/>
          <w:sz w:val="24"/>
          <w:szCs w:val="24"/>
        </w:rPr>
        <w:t xml:space="preserve"> </w:t>
      </w:r>
      <w:r w:rsidR="007530BA" w:rsidRPr="00890F61">
        <w:rPr>
          <w:rFonts w:ascii="Times New Roman" w:eastAsia="黑体" w:hAnsi="Times New Roman" w:cs="Times New Roman"/>
          <w:sz w:val="24"/>
          <w:szCs w:val="24"/>
        </w:rPr>
        <w:t xml:space="preserve"> </w:t>
      </w:r>
      <w:r w:rsidR="006F57AF" w:rsidRPr="00890F61">
        <w:rPr>
          <w:rFonts w:ascii="Times New Roman" w:eastAsia="黑体" w:hAnsi="Times New Roman" w:cs="Times New Roman"/>
          <w:bCs/>
          <w:sz w:val="24"/>
          <w:szCs w:val="24"/>
        </w:rPr>
        <w:t>PPI</w:t>
      </w:r>
      <w:r w:rsidR="006F57AF" w:rsidRPr="000D0BF4">
        <w:rPr>
          <w:rFonts w:ascii="黑体" w:eastAsia="黑体" w:hAnsi="黑体" w:cs="宋体" w:hint="eastAsia"/>
          <w:bCs/>
          <w:sz w:val="24"/>
          <w:szCs w:val="24"/>
        </w:rPr>
        <w:t>临床应用注意事项</w:t>
      </w:r>
    </w:p>
    <w:p w:rsidR="007A5BD9" w:rsidRPr="000D0BF4" w:rsidRDefault="000D0BF4" w:rsidP="00703EA2">
      <w:pPr>
        <w:spacing w:after="0"/>
        <w:jc w:val="both"/>
        <w:rPr>
          <w:rFonts w:ascii="仿宋" w:eastAsia="仿宋" w:hAnsi="仿宋" w:cs="宋体"/>
          <w:sz w:val="24"/>
          <w:szCs w:val="24"/>
        </w:rPr>
      </w:pPr>
      <w:r w:rsidRPr="000D0BF4">
        <w:rPr>
          <w:rFonts w:ascii="黑体" w:eastAsia="黑体" w:hAnsi="黑体" w:cs="宋体" w:hint="eastAsia"/>
          <w:bCs/>
          <w:sz w:val="24"/>
          <w:szCs w:val="24"/>
        </w:rPr>
        <w:t>4.1</w:t>
      </w:r>
      <w:r w:rsidR="007530BA">
        <w:rPr>
          <w:rFonts w:ascii="黑体" w:eastAsia="黑体" w:hAnsi="黑体" w:cs="宋体" w:hint="eastAsia"/>
          <w:bCs/>
          <w:sz w:val="24"/>
          <w:szCs w:val="24"/>
        </w:rPr>
        <w:t xml:space="preserve">  </w:t>
      </w:r>
      <w:r w:rsidR="006F57AF" w:rsidRPr="000D0BF4">
        <w:rPr>
          <w:rFonts w:ascii="Times New Roman" w:eastAsia="仿宋" w:hAnsi="Times New Roman" w:cs="Times New Roman"/>
          <w:sz w:val="24"/>
          <w:szCs w:val="24"/>
        </w:rPr>
        <w:t>不同</w:t>
      </w:r>
      <w:r w:rsidR="006F57AF" w:rsidRPr="000D0BF4">
        <w:rPr>
          <w:rFonts w:ascii="Times New Roman" w:eastAsia="仿宋" w:hAnsi="Times New Roman" w:cs="Times New Roman"/>
          <w:sz w:val="24"/>
          <w:szCs w:val="24"/>
        </w:rPr>
        <w:t>PPI</w:t>
      </w:r>
      <w:r w:rsidR="006F57AF" w:rsidRPr="000D0BF4">
        <w:rPr>
          <w:rFonts w:ascii="Times New Roman" w:eastAsia="仿宋" w:hAnsi="Times New Roman" w:cs="Times New Roman"/>
          <w:sz w:val="24"/>
          <w:szCs w:val="24"/>
        </w:rPr>
        <w:t>的</w:t>
      </w:r>
      <w:r w:rsidR="006F57AF" w:rsidRPr="000D0BF4">
        <w:rPr>
          <w:rFonts w:ascii="Times New Roman" w:eastAsia="仿宋" w:hAnsi="Times New Roman" w:cs="Times New Roman"/>
          <w:sz w:val="24"/>
          <w:szCs w:val="24"/>
        </w:rPr>
        <w:t xml:space="preserve">PK/PD </w:t>
      </w:r>
      <w:r w:rsidR="006F57AF" w:rsidRPr="000D0BF4">
        <w:rPr>
          <w:rFonts w:ascii="Times New Roman" w:eastAsia="仿宋" w:hAnsi="Times New Roman" w:cs="Times New Roman"/>
          <w:sz w:val="24"/>
          <w:szCs w:val="24"/>
        </w:rPr>
        <w:t>略有差异</w:t>
      </w:r>
    </w:p>
    <w:p w:rsidR="007A5BD9" w:rsidRPr="00890F61" w:rsidRDefault="006F57AF" w:rsidP="00703EA2">
      <w:pPr>
        <w:spacing w:after="0" w:line="276" w:lineRule="auto"/>
        <w:ind w:firstLineChars="200" w:firstLine="480"/>
        <w:jc w:val="both"/>
        <w:rPr>
          <w:rFonts w:ascii="Times New Roman" w:eastAsia="宋体" w:hAnsi="Times New Roman" w:cs="Times New Roman"/>
          <w:bCs/>
          <w:sz w:val="24"/>
          <w:szCs w:val="24"/>
        </w:rPr>
      </w:pPr>
      <w:r w:rsidRPr="00890F61">
        <w:rPr>
          <w:rFonts w:ascii="Times New Roman" w:eastAsia="宋体" w:hAnsi="Times New Roman" w:cs="Times New Roman"/>
          <w:bCs/>
          <w:sz w:val="24"/>
          <w:szCs w:val="24"/>
        </w:rPr>
        <w:t>PPI</w:t>
      </w:r>
      <w:r w:rsidRPr="00890F61">
        <w:rPr>
          <w:rFonts w:ascii="Times New Roman" w:eastAsia="宋体" w:hAnsi="Times New Roman" w:cs="Times New Roman"/>
          <w:bCs/>
          <w:sz w:val="24"/>
          <w:szCs w:val="24"/>
        </w:rPr>
        <w:t>主要通过特异性作用于胃壁细胞分泌膜上的胃酸分泌的最终环节</w:t>
      </w:r>
      <w:r w:rsidRPr="00890F61">
        <w:rPr>
          <w:rFonts w:ascii="Times New Roman" w:eastAsia="宋体" w:hAnsi="Times New Roman" w:cs="Times New Roman"/>
          <w:bCs/>
          <w:sz w:val="24"/>
          <w:szCs w:val="24"/>
        </w:rPr>
        <w:t>H-K-ATP</w:t>
      </w:r>
      <w:r w:rsidRPr="00890F61">
        <w:rPr>
          <w:rFonts w:ascii="Times New Roman" w:eastAsia="宋体" w:hAnsi="Times New Roman" w:cs="Times New Roman"/>
          <w:bCs/>
          <w:sz w:val="24"/>
          <w:szCs w:val="24"/>
        </w:rPr>
        <w:t>酶（即质子泵），不可逆地与其结合，使其失去活性，从而抑制胃酸分泌</w:t>
      </w:r>
      <w:r w:rsidRPr="00890F61">
        <w:rPr>
          <w:rFonts w:ascii="Times New Roman" w:eastAsia="宋体" w:hAnsi="Times New Roman" w:cs="Times New Roman"/>
          <w:sz w:val="24"/>
          <w:szCs w:val="24"/>
        </w:rPr>
        <w:t>。</w:t>
      </w:r>
    </w:p>
    <w:p w:rsidR="007A5BD9" w:rsidRDefault="006F57AF" w:rsidP="00703EA2">
      <w:pPr>
        <w:spacing w:after="0" w:line="276" w:lineRule="auto"/>
        <w:ind w:firstLineChars="200" w:firstLine="480"/>
        <w:jc w:val="both"/>
        <w:rPr>
          <w:rFonts w:ascii="Times New Roman" w:eastAsia="宋体" w:hAnsi="Times New Roman" w:cs="Times New Roman"/>
          <w:sz w:val="24"/>
          <w:szCs w:val="24"/>
        </w:rPr>
      </w:pPr>
      <w:r w:rsidRPr="00890F61">
        <w:rPr>
          <w:rFonts w:ascii="Times New Roman" w:eastAsia="宋体" w:hAnsi="Times New Roman" w:cs="Times New Roman"/>
          <w:sz w:val="24"/>
          <w:szCs w:val="24"/>
        </w:rPr>
        <w:t>从药理学角度，可把</w:t>
      </w:r>
      <w:r w:rsidRPr="00890F61">
        <w:rPr>
          <w:rFonts w:ascii="Times New Roman" w:eastAsia="宋体" w:hAnsi="Times New Roman" w:cs="Times New Roman"/>
          <w:sz w:val="24"/>
          <w:szCs w:val="24"/>
        </w:rPr>
        <w:t xml:space="preserve">PPI </w:t>
      </w:r>
      <w:r w:rsidRPr="00890F61">
        <w:rPr>
          <w:rFonts w:ascii="Times New Roman" w:eastAsia="宋体" w:hAnsi="Times New Roman" w:cs="Times New Roman"/>
          <w:sz w:val="24"/>
          <w:szCs w:val="24"/>
        </w:rPr>
        <w:t>分为两大类：第一代</w:t>
      </w:r>
      <w:r w:rsidRPr="00890F61">
        <w:rPr>
          <w:rFonts w:ascii="Times New Roman" w:eastAsia="宋体" w:hAnsi="Times New Roman" w:cs="Times New Roman"/>
          <w:sz w:val="24"/>
          <w:szCs w:val="24"/>
        </w:rPr>
        <w:t xml:space="preserve">PPI </w:t>
      </w:r>
      <w:r w:rsidRPr="00890F61">
        <w:rPr>
          <w:rFonts w:ascii="Times New Roman" w:eastAsia="宋体" w:hAnsi="Times New Roman" w:cs="Times New Roman"/>
          <w:sz w:val="24"/>
          <w:szCs w:val="24"/>
        </w:rPr>
        <w:t>包括奥美拉</w:t>
      </w:r>
      <w:proofErr w:type="gramStart"/>
      <w:r w:rsidRPr="00890F61">
        <w:rPr>
          <w:rFonts w:ascii="Times New Roman" w:eastAsia="宋体" w:hAnsi="Times New Roman" w:cs="Times New Roman"/>
          <w:sz w:val="24"/>
          <w:szCs w:val="24"/>
        </w:rPr>
        <w:t>唑</w:t>
      </w:r>
      <w:proofErr w:type="gramEnd"/>
      <w:r w:rsidRPr="00890F61">
        <w:rPr>
          <w:rFonts w:ascii="Times New Roman" w:eastAsia="宋体" w:hAnsi="Times New Roman" w:cs="Times New Roman"/>
          <w:sz w:val="24"/>
          <w:szCs w:val="24"/>
        </w:rPr>
        <w:t>、兰索拉</w:t>
      </w:r>
      <w:proofErr w:type="gramStart"/>
      <w:r w:rsidRPr="00890F61">
        <w:rPr>
          <w:rFonts w:ascii="Times New Roman" w:eastAsia="宋体" w:hAnsi="Times New Roman" w:cs="Times New Roman"/>
          <w:sz w:val="24"/>
          <w:szCs w:val="24"/>
        </w:rPr>
        <w:t>唑</w:t>
      </w:r>
      <w:proofErr w:type="gramEnd"/>
      <w:r w:rsidRPr="00890F61">
        <w:rPr>
          <w:rFonts w:ascii="Times New Roman" w:eastAsia="宋体" w:hAnsi="Times New Roman" w:cs="Times New Roman"/>
          <w:sz w:val="24"/>
          <w:szCs w:val="24"/>
        </w:rPr>
        <w:t>和</w:t>
      </w:r>
      <w:proofErr w:type="gramStart"/>
      <w:r w:rsidRPr="00890F61">
        <w:rPr>
          <w:rFonts w:ascii="Times New Roman" w:eastAsia="宋体" w:hAnsi="Times New Roman" w:cs="Times New Roman"/>
          <w:sz w:val="24"/>
          <w:szCs w:val="24"/>
        </w:rPr>
        <w:t>泮</w:t>
      </w:r>
      <w:proofErr w:type="gramEnd"/>
      <w:r w:rsidRPr="00890F61">
        <w:rPr>
          <w:rFonts w:ascii="Times New Roman" w:eastAsia="宋体" w:hAnsi="Times New Roman" w:cs="Times New Roman"/>
          <w:sz w:val="24"/>
          <w:szCs w:val="24"/>
        </w:rPr>
        <w:t>托拉</w:t>
      </w:r>
      <w:proofErr w:type="gramStart"/>
      <w:r w:rsidRPr="00890F61">
        <w:rPr>
          <w:rFonts w:ascii="Times New Roman" w:eastAsia="宋体" w:hAnsi="Times New Roman" w:cs="Times New Roman"/>
          <w:sz w:val="24"/>
          <w:szCs w:val="24"/>
        </w:rPr>
        <w:t>唑</w:t>
      </w:r>
      <w:proofErr w:type="gramEnd"/>
      <w:r w:rsidRPr="00890F61">
        <w:rPr>
          <w:rFonts w:ascii="Times New Roman" w:eastAsia="宋体" w:hAnsi="Times New Roman" w:cs="Times New Roman"/>
          <w:sz w:val="24"/>
          <w:szCs w:val="24"/>
        </w:rPr>
        <w:t>，第二代</w:t>
      </w:r>
      <w:r w:rsidRPr="00890F61">
        <w:rPr>
          <w:rFonts w:ascii="Times New Roman" w:eastAsia="宋体" w:hAnsi="Times New Roman" w:cs="Times New Roman"/>
          <w:sz w:val="24"/>
          <w:szCs w:val="24"/>
        </w:rPr>
        <w:t>(</w:t>
      </w:r>
      <w:r w:rsidRPr="00890F61">
        <w:rPr>
          <w:rFonts w:ascii="Times New Roman" w:eastAsia="宋体" w:hAnsi="Times New Roman" w:cs="Times New Roman"/>
          <w:sz w:val="24"/>
          <w:szCs w:val="24"/>
        </w:rPr>
        <w:t>新一代</w:t>
      </w:r>
      <w:r w:rsidRPr="00890F61">
        <w:rPr>
          <w:rFonts w:ascii="Times New Roman" w:eastAsia="宋体" w:hAnsi="Times New Roman" w:cs="Times New Roman"/>
          <w:sz w:val="24"/>
          <w:szCs w:val="24"/>
        </w:rPr>
        <w:t xml:space="preserve">)PPI </w:t>
      </w:r>
      <w:r w:rsidRPr="00890F61">
        <w:rPr>
          <w:rFonts w:ascii="Times New Roman" w:eastAsia="宋体" w:hAnsi="Times New Roman" w:cs="Times New Roman"/>
          <w:sz w:val="24"/>
          <w:szCs w:val="24"/>
        </w:rPr>
        <w:t>如雷贝拉</w:t>
      </w:r>
      <w:proofErr w:type="gramStart"/>
      <w:r w:rsidRPr="00890F61">
        <w:rPr>
          <w:rFonts w:ascii="Times New Roman" w:eastAsia="宋体" w:hAnsi="Times New Roman" w:cs="Times New Roman"/>
          <w:sz w:val="24"/>
          <w:szCs w:val="24"/>
        </w:rPr>
        <w:t>唑</w:t>
      </w:r>
      <w:proofErr w:type="gramEnd"/>
      <w:r w:rsidRPr="00890F61">
        <w:rPr>
          <w:rFonts w:ascii="Times New Roman" w:eastAsia="宋体" w:hAnsi="Times New Roman" w:cs="Times New Roman"/>
          <w:sz w:val="24"/>
          <w:szCs w:val="24"/>
        </w:rPr>
        <w:t>、艾司奥美拉</w:t>
      </w:r>
      <w:proofErr w:type="gramStart"/>
      <w:r w:rsidRPr="00890F61">
        <w:rPr>
          <w:rFonts w:ascii="Times New Roman" w:eastAsia="宋体" w:hAnsi="Times New Roman" w:cs="Times New Roman"/>
          <w:sz w:val="24"/>
          <w:szCs w:val="24"/>
        </w:rPr>
        <w:t>唑</w:t>
      </w:r>
      <w:proofErr w:type="gramEnd"/>
      <w:r w:rsidRPr="00890F61">
        <w:rPr>
          <w:rFonts w:ascii="Times New Roman" w:eastAsia="宋体" w:hAnsi="Times New Roman" w:cs="Times New Roman"/>
          <w:sz w:val="24"/>
          <w:szCs w:val="24"/>
        </w:rPr>
        <w:t>。</w:t>
      </w:r>
      <w:proofErr w:type="gramStart"/>
      <w:r w:rsidRPr="00890F61">
        <w:rPr>
          <w:rFonts w:ascii="Times New Roman" w:eastAsia="宋体" w:hAnsi="Times New Roman" w:cs="Times New Roman"/>
          <w:sz w:val="24"/>
          <w:szCs w:val="24"/>
        </w:rPr>
        <w:t>相比第</w:t>
      </w:r>
      <w:proofErr w:type="gramEnd"/>
      <w:r w:rsidRPr="00890F61">
        <w:rPr>
          <w:rFonts w:ascii="Times New Roman" w:eastAsia="宋体" w:hAnsi="Times New Roman" w:cs="Times New Roman"/>
          <w:sz w:val="24"/>
          <w:szCs w:val="24"/>
        </w:rPr>
        <w:t>一代，第二代</w:t>
      </w:r>
      <w:r w:rsidRPr="00890F61">
        <w:rPr>
          <w:rFonts w:ascii="Times New Roman" w:eastAsia="宋体" w:hAnsi="Times New Roman" w:cs="Times New Roman"/>
          <w:sz w:val="24"/>
          <w:szCs w:val="24"/>
        </w:rPr>
        <w:t>PPI</w:t>
      </w:r>
      <w:r w:rsidRPr="00890F61">
        <w:rPr>
          <w:rFonts w:ascii="Times New Roman" w:eastAsia="宋体" w:hAnsi="Times New Roman" w:cs="Times New Roman"/>
          <w:sz w:val="24"/>
          <w:szCs w:val="24"/>
        </w:rPr>
        <w:t>起效更快，抑</w:t>
      </w:r>
      <w:proofErr w:type="gramStart"/>
      <w:r w:rsidRPr="00890F61">
        <w:rPr>
          <w:rFonts w:ascii="Times New Roman" w:eastAsia="宋体" w:hAnsi="Times New Roman" w:cs="Times New Roman"/>
          <w:sz w:val="24"/>
          <w:szCs w:val="24"/>
        </w:rPr>
        <w:t>酸效果</w:t>
      </w:r>
      <w:proofErr w:type="gramEnd"/>
      <w:r w:rsidRPr="00890F61">
        <w:rPr>
          <w:rFonts w:ascii="Times New Roman" w:eastAsia="宋体" w:hAnsi="Times New Roman" w:cs="Times New Roman"/>
          <w:sz w:val="24"/>
          <w:szCs w:val="24"/>
        </w:rPr>
        <w:t>更好，能</w:t>
      </w:r>
      <w:r w:rsidRPr="00890F61">
        <w:rPr>
          <w:rFonts w:ascii="Times New Roman" w:eastAsia="宋体" w:hAnsi="Times New Roman" w:cs="Times New Roman"/>
          <w:sz w:val="24"/>
          <w:szCs w:val="24"/>
        </w:rPr>
        <w:t>24</w:t>
      </w:r>
      <w:r w:rsidR="003573E7" w:rsidRPr="00890F61">
        <w:rPr>
          <w:rFonts w:ascii="Times New Roman" w:eastAsia="宋体" w:hAnsi="Times New Roman" w:cs="Times New Roman"/>
          <w:sz w:val="24"/>
          <w:szCs w:val="24"/>
        </w:rPr>
        <w:t xml:space="preserve"> </w:t>
      </w:r>
      <w:r w:rsidR="000D0BF4" w:rsidRPr="00890F61">
        <w:rPr>
          <w:rFonts w:ascii="Times New Roman" w:eastAsia="宋体" w:hAnsi="Times New Roman" w:cs="Times New Roman"/>
          <w:sz w:val="24"/>
          <w:szCs w:val="24"/>
        </w:rPr>
        <w:t>h</w:t>
      </w:r>
      <w:r w:rsidRPr="00890F61">
        <w:rPr>
          <w:rFonts w:ascii="Times New Roman" w:eastAsia="宋体" w:hAnsi="Times New Roman" w:cs="Times New Roman"/>
          <w:sz w:val="24"/>
          <w:szCs w:val="24"/>
        </w:rPr>
        <w:t>持续抑酸，个体差异少</w:t>
      </w:r>
      <w:r w:rsidRPr="00890F61">
        <w:rPr>
          <w:rFonts w:ascii="Times New Roman" w:eastAsia="宋体" w:hAnsi="Times New Roman" w:cs="Times New Roman"/>
          <w:sz w:val="24"/>
          <w:szCs w:val="24"/>
          <w:vertAlign w:val="superscript"/>
        </w:rPr>
        <w:t>[51]</w:t>
      </w:r>
      <w:r w:rsidR="000D0BF4" w:rsidRPr="00890F61">
        <w:rPr>
          <w:rFonts w:ascii="Times New Roman" w:eastAsia="宋体" w:hAnsi="Times New Roman" w:cs="Times New Roman"/>
          <w:sz w:val="24"/>
          <w:szCs w:val="24"/>
        </w:rPr>
        <w:t>。</w:t>
      </w:r>
      <w:r w:rsidRPr="00890F61">
        <w:rPr>
          <w:rFonts w:ascii="Times New Roman" w:eastAsia="宋体" w:hAnsi="Times New Roman" w:cs="Times New Roman"/>
          <w:sz w:val="24"/>
          <w:szCs w:val="24"/>
        </w:rPr>
        <w:t>常用</w:t>
      </w:r>
      <w:r w:rsidRPr="00890F61">
        <w:rPr>
          <w:rFonts w:ascii="Times New Roman" w:eastAsia="宋体" w:hAnsi="Times New Roman" w:cs="Times New Roman"/>
          <w:sz w:val="24"/>
          <w:szCs w:val="24"/>
        </w:rPr>
        <w:t>PPI</w:t>
      </w:r>
      <w:r w:rsidRPr="00890F61">
        <w:rPr>
          <w:rFonts w:ascii="Times New Roman" w:eastAsia="宋体" w:hAnsi="Times New Roman" w:cs="Times New Roman"/>
          <w:sz w:val="24"/>
          <w:szCs w:val="24"/>
        </w:rPr>
        <w:t>的药代动力学特点比较</w:t>
      </w:r>
      <w:r w:rsidR="000D0BF4" w:rsidRPr="00890F61">
        <w:rPr>
          <w:rFonts w:ascii="Times New Roman" w:eastAsia="宋体" w:hAnsi="Times New Roman" w:cs="Times New Roman"/>
          <w:sz w:val="24"/>
          <w:szCs w:val="24"/>
        </w:rPr>
        <w:t>，见</w:t>
      </w:r>
      <w:r w:rsidRPr="00890F61">
        <w:rPr>
          <w:rFonts w:ascii="Times New Roman" w:eastAsia="宋体" w:hAnsi="Times New Roman" w:cs="Times New Roman"/>
          <w:sz w:val="24"/>
          <w:szCs w:val="24"/>
        </w:rPr>
        <w:t>表</w:t>
      </w:r>
      <w:r w:rsidRPr="00890F61">
        <w:rPr>
          <w:rFonts w:ascii="Times New Roman" w:eastAsia="宋体" w:hAnsi="Times New Roman" w:cs="Times New Roman"/>
          <w:sz w:val="24"/>
          <w:szCs w:val="24"/>
        </w:rPr>
        <w:t>6</w:t>
      </w:r>
      <w:r w:rsidR="000D0BF4" w:rsidRPr="00890F61">
        <w:rPr>
          <w:rFonts w:ascii="Times New Roman" w:eastAsia="宋体" w:hAnsi="Times New Roman" w:cs="Times New Roman"/>
          <w:sz w:val="24"/>
          <w:szCs w:val="24"/>
        </w:rPr>
        <w:t>。</w:t>
      </w:r>
    </w:p>
    <w:p w:rsidR="004E5CC5" w:rsidRPr="00890F61" w:rsidRDefault="004E5CC5" w:rsidP="00703EA2">
      <w:pPr>
        <w:spacing w:after="0" w:line="276" w:lineRule="auto"/>
        <w:ind w:firstLineChars="200" w:firstLine="480"/>
        <w:jc w:val="both"/>
        <w:rPr>
          <w:rFonts w:ascii="Times New Roman" w:eastAsia="宋体" w:hAnsi="Times New Roman" w:cs="Times New Roman"/>
          <w:sz w:val="24"/>
          <w:szCs w:val="24"/>
        </w:rPr>
      </w:pPr>
    </w:p>
    <w:p w:rsidR="007A5BD9" w:rsidRDefault="006F57AF" w:rsidP="00890F61">
      <w:pPr>
        <w:spacing w:after="0"/>
        <w:ind w:firstLine="188"/>
        <w:contextualSpacing/>
        <w:rPr>
          <w:rFonts w:ascii="微软雅黑" w:eastAsia="微软雅黑" w:hAnsi="微软雅黑" w:cs="宋体"/>
          <w:color w:val="0070C0"/>
          <w:sz w:val="16"/>
        </w:rPr>
      </w:pPr>
      <w:r w:rsidRPr="000D0BF4">
        <w:rPr>
          <w:rFonts w:ascii="黑体" w:eastAsia="黑体" w:hAnsi="黑体" w:cs="宋体" w:hint="eastAsia"/>
          <w:sz w:val="24"/>
          <w:szCs w:val="24"/>
        </w:rPr>
        <w:lastRenderedPageBreak/>
        <w:t xml:space="preserve">表6 </w:t>
      </w:r>
      <w:r w:rsidRPr="000D0BF4">
        <w:rPr>
          <w:rFonts w:ascii="黑体" w:eastAsia="黑体" w:hAnsi="黑体" w:cs="宋体"/>
          <w:sz w:val="24"/>
          <w:szCs w:val="24"/>
        </w:rPr>
        <w:t xml:space="preserve"> </w:t>
      </w:r>
      <w:r w:rsidRPr="00890F61">
        <w:rPr>
          <w:rFonts w:ascii="Times New Roman" w:eastAsia="黑体" w:hAnsi="Times New Roman" w:cs="Times New Roman"/>
          <w:sz w:val="24"/>
          <w:szCs w:val="24"/>
        </w:rPr>
        <w:t>PPI</w:t>
      </w:r>
      <w:r w:rsidRPr="000D0BF4">
        <w:rPr>
          <w:rFonts w:ascii="黑体" w:eastAsia="黑体" w:hAnsi="黑体" w:cs="宋体" w:hint="eastAsia"/>
          <w:sz w:val="24"/>
          <w:szCs w:val="24"/>
        </w:rPr>
        <w:t>的药理学特点比较</w:t>
      </w:r>
    </w:p>
    <w:tbl>
      <w:tblPr>
        <w:tblW w:w="9279"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604"/>
        <w:gridCol w:w="1798"/>
        <w:gridCol w:w="1893"/>
        <w:gridCol w:w="1325"/>
        <w:gridCol w:w="1325"/>
        <w:gridCol w:w="1334"/>
      </w:tblGrid>
      <w:tr w:rsidR="007A5BD9" w:rsidRPr="000D0BF4" w:rsidTr="00890F61">
        <w:trPr>
          <w:trHeight w:val="329"/>
        </w:trPr>
        <w:tc>
          <w:tcPr>
            <w:tcW w:w="1604" w:type="dxa"/>
            <w:tcBorders>
              <w:top w:val="single" w:sz="4" w:space="0" w:color="auto"/>
              <w:bottom w:val="single" w:sz="4" w:space="0" w:color="auto"/>
            </w:tcBorders>
            <w:shd w:val="clear" w:color="auto" w:fill="auto"/>
            <w:tcMar>
              <w:top w:w="29" w:type="dxa"/>
              <w:left w:w="65" w:type="dxa"/>
              <w:bottom w:w="29" w:type="dxa"/>
              <w:right w:w="65" w:type="dxa"/>
            </w:tcMar>
            <w:vAlign w:val="center"/>
          </w:tcPr>
          <w:p w:rsidR="007A5BD9" w:rsidRPr="00890F61" w:rsidRDefault="006F57AF">
            <w:pPr>
              <w:jc w:val="center"/>
              <w:rPr>
                <w:rFonts w:ascii="Times New Roman" w:eastAsia="宋体" w:hAnsi="Times New Roman" w:cs="Times New Roman"/>
                <w:b/>
                <w:sz w:val="24"/>
                <w:szCs w:val="24"/>
              </w:rPr>
            </w:pPr>
            <w:r w:rsidRPr="00890F61">
              <w:rPr>
                <w:rFonts w:ascii="Times New Roman" w:eastAsia="宋体" w:hAnsi="Times New Roman" w:cs="Times New Roman"/>
                <w:b/>
                <w:bCs/>
                <w:sz w:val="24"/>
                <w:szCs w:val="24"/>
              </w:rPr>
              <w:t>常用</w:t>
            </w:r>
            <w:r w:rsidRPr="00890F61">
              <w:rPr>
                <w:rFonts w:ascii="Times New Roman" w:eastAsia="宋体" w:hAnsi="Times New Roman" w:cs="Times New Roman"/>
                <w:b/>
                <w:bCs/>
                <w:sz w:val="24"/>
                <w:szCs w:val="24"/>
              </w:rPr>
              <w:t>PPI</w:t>
            </w:r>
          </w:p>
        </w:tc>
        <w:tc>
          <w:tcPr>
            <w:tcW w:w="1798" w:type="dxa"/>
            <w:tcBorders>
              <w:top w:val="single" w:sz="4" w:space="0" w:color="auto"/>
              <w:bottom w:val="single" w:sz="4" w:space="0" w:color="auto"/>
            </w:tcBorders>
            <w:shd w:val="clear" w:color="auto" w:fill="auto"/>
            <w:tcMar>
              <w:top w:w="29" w:type="dxa"/>
              <w:left w:w="65" w:type="dxa"/>
              <w:bottom w:w="29" w:type="dxa"/>
              <w:right w:w="65" w:type="dxa"/>
            </w:tcMar>
            <w:vAlign w:val="center"/>
          </w:tcPr>
          <w:p w:rsidR="007A5BD9" w:rsidRPr="00890F61" w:rsidRDefault="006F57AF">
            <w:pPr>
              <w:jc w:val="center"/>
              <w:rPr>
                <w:rFonts w:ascii="Times New Roman" w:eastAsia="宋体" w:hAnsi="Times New Roman" w:cs="Times New Roman"/>
                <w:b/>
                <w:sz w:val="24"/>
                <w:szCs w:val="24"/>
              </w:rPr>
            </w:pPr>
            <w:r w:rsidRPr="00890F61">
              <w:rPr>
                <w:rFonts w:ascii="Times New Roman" w:eastAsia="宋体" w:hAnsi="Times New Roman" w:cs="Times New Roman"/>
                <w:b/>
                <w:bCs/>
                <w:sz w:val="24"/>
                <w:szCs w:val="24"/>
              </w:rPr>
              <w:t>奥美拉</w:t>
            </w:r>
            <w:proofErr w:type="gramStart"/>
            <w:r w:rsidRPr="00890F61">
              <w:rPr>
                <w:rFonts w:ascii="Times New Roman" w:eastAsia="宋体" w:hAnsi="Times New Roman" w:cs="Times New Roman"/>
                <w:b/>
                <w:bCs/>
                <w:sz w:val="24"/>
                <w:szCs w:val="24"/>
              </w:rPr>
              <w:t>唑</w:t>
            </w:r>
            <w:proofErr w:type="gramEnd"/>
          </w:p>
        </w:tc>
        <w:tc>
          <w:tcPr>
            <w:tcW w:w="1893" w:type="dxa"/>
            <w:tcBorders>
              <w:top w:val="single" w:sz="4" w:space="0" w:color="auto"/>
              <w:bottom w:val="single" w:sz="4" w:space="0" w:color="auto"/>
            </w:tcBorders>
            <w:shd w:val="clear" w:color="auto" w:fill="auto"/>
            <w:tcMar>
              <w:top w:w="29" w:type="dxa"/>
              <w:left w:w="58" w:type="dxa"/>
              <w:bottom w:w="29" w:type="dxa"/>
              <w:right w:w="58" w:type="dxa"/>
            </w:tcMar>
            <w:vAlign w:val="center"/>
          </w:tcPr>
          <w:p w:rsidR="007A5BD9" w:rsidRPr="00890F61" w:rsidRDefault="006F57AF">
            <w:pPr>
              <w:jc w:val="center"/>
              <w:rPr>
                <w:rFonts w:ascii="Times New Roman" w:eastAsia="宋体" w:hAnsi="Times New Roman" w:cs="Times New Roman"/>
                <w:b/>
                <w:sz w:val="24"/>
                <w:szCs w:val="24"/>
              </w:rPr>
            </w:pPr>
            <w:r w:rsidRPr="00890F61">
              <w:rPr>
                <w:rFonts w:ascii="Times New Roman" w:eastAsia="宋体" w:hAnsi="Times New Roman" w:cs="Times New Roman"/>
                <w:b/>
                <w:bCs/>
                <w:sz w:val="24"/>
                <w:szCs w:val="24"/>
              </w:rPr>
              <w:t>艾司奥美拉</w:t>
            </w:r>
            <w:proofErr w:type="gramStart"/>
            <w:r w:rsidRPr="00890F61">
              <w:rPr>
                <w:rFonts w:ascii="Times New Roman" w:eastAsia="宋体" w:hAnsi="Times New Roman" w:cs="Times New Roman"/>
                <w:b/>
                <w:bCs/>
                <w:sz w:val="24"/>
                <w:szCs w:val="24"/>
              </w:rPr>
              <w:t>唑</w:t>
            </w:r>
            <w:proofErr w:type="gramEnd"/>
          </w:p>
        </w:tc>
        <w:tc>
          <w:tcPr>
            <w:tcW w:w="1325" w:type="dxa"/>
            <w:tcBorders>
              <w:top w:val="single" w:sz="4" w:space="0" w:color="auto"/>
              <w:bottom w:val="single" w:sz="4" w:space="0" w:color="auto"/>
            </w:tcBorders>
            <w:shd w:val="clear" w:color="auto" w:fill="auto"/>
            <w:tcMar>
              <w:top w:w="29" w:type="dxa"/>
              <w:left w:w="65" w:type="dxa"/>
              <w:bottom w:w="29" w:type="dxa"/>
              <w:right w:w="65" w:type="dxa"/>
            </w:tcMar>
            <w:vAlign w:val="center"/>
          </w:tcPr>
          <w:p w:rsidR="007A5BD9" w:rsidRPr="00890F61" w:rsidRDefault="006F57AF">
            <w:pPr>
              <w:jc w:val="center"/>
              <w:rPr>
                <w:rFonts w:ascii="Times New Roman" w:eastAsia="宋体" w:hAnsi="Times New Roman" w:cs="Times New Roman"/>
                <w:b/>
                <w:sz w:val="24"/>
                <w:szCs w:val="24"/>
              </w:rPr>
            </w:pPr>
            <w:r w:rsidRPr="00890F61">
              <w:rPr>
                <w:rFonts w:ascii="Times New Roman" w:eastAsia="宋体" w:hAnsi="Times New Roman" w:cs="Times New Roman"/>
                <w:b/>
                <w:bCs/>
                <w:sz w:val="24"/>
                <w:szCs w:val="24"/>
              </w:rPr>
              <w:t>兰索拉</w:t>
            </w:r>
            <w:proofErr w:type="gramStart"/>
            <w:r w:rsidRPr="00890F61">
              <w:rPr>
                <w:rFonts w:ascii="Times New Roman" w:eastAsia="宋体" w:hAnsi="Times New Roman" w:cs="Times New Roman"/>
                <w:b/>
                <w:bCs/>
                <w:sz w:val="24"/>
                <w:szCs w:val="24"/>
              </w:rPr>
              <w:t>唑</w:t>
            </w:r>
            <w:proofErr w:type="gramEnd"/>
          </w:p>
        </w:tc>
        <w:tc>
          <w:tcPr>
            <w:tcW w:w="1325" w:type="dxa"/>
            <w:tcBorders>
              <w:top w:val="single" w:sz="4" w:space="0" w:color="auto"/>
              <w:bottom w:val="single" w:sz="4" w:space="0" w:color="auto"/>
            </w:tcBorders>
            <w:shd w:val="clear" w:color="auto" w:fill="auto"/>
            <w:tcMar>
              <w:top w:w="29" w:type="dxa"/>
              <w:left w:w="65" w:type="dxa"/>
              <w:bottom w:w="29" w:type="dxa"/>
              <w:right w:w="65" w:type="dxa"/>
            </w:tcMar>
            <w:vAlign w:val="center"/>
          </w:tcPr>
          <w:p w:rsidR="007A5BD9" w:rsidRPr="00890F61" w:rsidRDefault="006F57AF">
            <w:pPr>
              <w:jc w:val="center"/>
              <w:rPr>
                <w:rFonts w:ascii="Times New Roman" w:eastAsia="宋体" w:hAnsi="Times New Roman" w:cs="Times New Roman"/>
                <w:b/>
                <w:sz w:val="24"/>
                <w:szCs w:val="24"/>
              </w:rPr>
            </w:pPr>
            <w:r w:rsidRPr="00890F61">
              <w:rPr>
                <w:rFonts w:ascii="Times New Roman" w:eastAsia="宋体" w:hAnsi="Times New Roman" w:cs="Times New Roman"/>
                <w:b/>
                <w:bCs/>
                <w:sz w:val="24"/>
                <w:szCs w:val="24"/>
              </w:rPr>
              <w:t>雷贝拉</w:t>
            </w:r>
            <w:proofErr w:type="gramStart"/>
            <w:r w:rsidRPr="00890F61">
              <w:rPr>
                <w:rFonts w:ascii="Times New Roman" w:eastAsia="宋体" w:hAnsi="Times New Roman" w:cs="Times New Roman"/>
                <w:b/>
                <w:bCs/>
                <w:sz w:val="24"/>
                <w:szCs w:val="24"/>
              </w:rPr>
              <w:t>唑</w:t>
            </w:r>
            <w:proofErr w:type="gramEnd"/>
          </w:p>
        </w:tc>
        <w:tc>
          <w:tcPr>
            <w:tcW w:w="1334" w:type="dxa"/>
            <w:tcBorders>
              <w:top w:val="single" w:sz="4" w:space="0" w:color="auto"/>
              <w:bottom w:val="single" w:sz="4" w:space="0" w:color="auto"/>
            </w:tcBorders>
            <w:shd w:val="clear" w:color="auto" w:fill="auto"/>
            <w:tcMar>
              <w:top w:w="29" w:type="dxa"/>
              <w:left w:w="65" w:type="dxa"/>
              <w:bottom w:w="29" w:type="dxa"/>
              <w:right w:w="65" w:type="dxa"/>
            </w:tcMar>
            <w:vAlign w:val="center"/>
          </w:tcPr>
          <w:p w:rsidR="007A5BD9" w:rsidRPr="00890F61" w:rsidRDefault="006F57AF">
            <w:pPr>
              <w:jc w:val="center"/>
              <w:rPr>
                <w:rFonts w:ascii="Times New Roman" w:eastAsia="宋体" w:hAnsi="Times New Roman" w:cs="Times New Roman"/>
                <w:b/>
                <w:sz w:val="24"/>
                <w:szCs w:val="24"/>
              </w:rPr>
            </w:pPr>
            <w:proofErr w:type="gramStart"/>
            <w:r w:rsidRPr="00890F61">
              <w:rPr>
                <w:rFonts w:ascii="Times New Roman" w:eastAsia="宋体" w:hAnsi="Times New Roman" w:cs="Times New Roman"/>
                <w:b/>
                <w:bCs/>
                <w:sz w:val="24"/>
                <w:szCs w:val="24"/>
              </w:rPr>
              <w:t>泮</w:t>
            </w:r>
            <w:proofErr w:type="gramEnd"/>
            <w:r w:rsidRPr="00890F61">
              <w:rPr>
                <w:rFonts w:ascii="Times New Roman" w:eastAsia="宋体" w:hAnsi="Times New Roman" w:cs="Times New Roman"/>
                <w:b/>
                <w:bCs/>
                <w:sz w:val="24"/>
                <w:szCs w:val="24"/>
              </w:rPr>
              <w:t>托拉</w:t>
            </w:r>
            <w:proofErr w:type="gramStart"/>
            <w:r w:rsidRPr="00890F61">
              <w:rPr>
                <w:rFonts w:ascii="Times New Roman" w:eastAsia="宋体" w:hAnsi="Times New Roman" w:cs="Times New Roman"/>
                <w:b/>
                <w:bCs/>
                <w:sz w:val="24"/>
                <w:szCs w:val="24"/>
              </w:rPr>
              <w:t>唑</w:t>
            </w:r>
            <w:proofErr w:type="gramEnd"/>
          </w:p>
        </w:tc>
      </w:tr>
      <w:tr w:rsidR="000D0BF4" w:rsidRPr="000D0BF4" w:rsidTr="00210739">
        <w:trPr>
          <w:trHeight w:val="487"/>
        </w:trPr>
        <w:tc>
          <w:tcPr>
            <w:tcW w:w="1604" w:type="dxa"/>
            <w:tcBorders>
              <w:top w:val="single" w:sz="4" w:space="0" w:color="auto"/>
            </w:tcBorders>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hint="eastAsia"/>
                <w:sz w:val="24"/>
                <w:szCs w:val="24"/>
              </w:rPr>
              <w:t>半衰期</w:t>
            </w:r>
            <w:r w:rsidRPr="000D0BF4">
              <w:rPr>
                <w:rFonts w:ascii="Times New Roman" w:eastAsia="宋体" w:hAnsi="Times New Roman" w:cs="Times New Roman"/>
                <w:sz w:val="24"/>
                <w:szCs w:val="24"/>
              </w:rPr>
              <w:t>T</w:t>
            </w:r>
            <w:r w:rsidRPr="000D0BF4">
              <w:rPr>
                <w:rFonts w:ascii="Times New Roman" w:eastAsia="宋体" w:hAnsi="Times New Roman" w:cs="Times New Roman"/>
                <w:sz w:val="24"/>
                <w:szCs w:val="24"/>
                <w:vertAlign w:val="subscript"/>
              </w:rPr>
              <w:t>1/2</w:t>
            </w:r>
            <w:r w:rsidRPr="000D0BF4">
              <w:rPr>
                <w:rFonts w:ascii="Times New Roman" w:eastAsia="宋体" w:hAnsi="Times New Roman" w:cs="Times New Roman"/>
                <w:sz w:val="24"/>
                <w:szCs w:val="24"/>
              </w:rPr>
              <w:t>/h</w:t>
            </w:r>
          </w:p>
        </w:tc>
        <w:tc>
          <w:tcPr>
            <w:tcW w:w="1798" w:type="dxa"/>
            <w:tcBorders>
              <w:top w:val="single" w:sz="4" w:space="0" w:color="auto"/>
            </w:tcBorders>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0.5</w:t>
            </w:r>
            <w:r w:rsidRPr="000D0BF4">
              <w:rPr>
                <w:rFonts w:ascii="Times New Roman" w:eastAsia="宋体" w:hAnsi="Times New Roman" w:cs="Times New Roman" w:hint="eastAsia"/>
                <w:sz w:val="24"/>
                <w:szCs w:val="24"/>
              </w:rPr>
              <w:t>～</w:t>
            </w:r>
            <w:r w:rsidRPr="000D0BF4">
              <w:rPr>
                <w:rFonts w:ascii="Times New Roman" w:eastAsia="宋体" w:hAnsi="Times New Roman" w:cs="Times New Roman"/>
                <w:sz w:val="24"/>
                <w:szCs w:val="24"/>
              </w:rPr>
              <w:t>1</w:t>
            </w:r>
          </w:p>
        </w:tc>
        <w:tc>
          <w:tcPr>
            <w:tcW w:w="1893" w:type="dxa"/>
            <w:tcBorders>
              <w:top w:val="single" w:sz="4" w:space="0" w:color="auto"/>
            </w:tcBorders>
            <w:shd w:val="clear" w:color="auto" w:fill="auto"/>
            <w:tcMar>
              <w:top w:w="29" w:type="dxa"/>
              <w:left w:w="58" w:type="dxa"/>
              <w:bottom w:w="29" w:type="dxa"/>
              <w:right w:w="58"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1.2</w:t>
            </w:r>
            <w:r w:rsidRPr="000D0BF4">
              <w:rPr>
                <w:rFonts w:ascii="Times New Roman" w:eastAsia="宋体" w:hAnsi="Times New Roman" w:cs="Times New Roman"/>
                <w:sz w:val="24"/>
                <w:szCs w:val="24"/>
              </w:rPr>
              <w:t>（</w:t>
            </w:r>
            <w:r w:rsidRPr="000D0BF4">
              <w:rPr>
                <w:rFonts w:ascii="Times New Roman" w:eastAsia="宋体" w:hAnsi="Times New Roman" w:cs="Times New Roman"/>
                <w:sz w:val="24"/>
                <w:szCs w:val="24"/>
              </w:rPr>
              <w:t>20 mg</w:t>
            </w:r>
            <w:r w:rsidRPr="000D0BF4">
              <w:rPr>
                <w:rFonts w:ascii="Times New Roman" w:eastAsia="宋体" w:hAnsi="Times New Roman" w:cs="Times New Roman"/>
                <w:sz w:val="24"/>
                <w:szCs w:val="24"/>
              </w:rPr>
              <w:t>）</w:t>
            </w:r>
          </w:p>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1.5</w:t>
            </w:r>
            <w:r w:rsidRPr="000D0BF4">
              <w:rPr>
                <w:rFonts w:ascii="Times New Roman" w:eastAsia="宋体" w:hAnsi="Times New Roman" w:cs="Times New Roman"/>
                <w:sz w:val="24"/>
                <w:szCs w:val="24"/>
              </w:rPr>
              <w:t>（</w:t>
            </w:r>
            <w:r w:rsidRPr="000D0BF4">
              <w:rPr>
                <w:rFonts w:ascii="Times New Roman" w:eastAsia="宋体" w:hAnsi="Times New Roman" w:cs="Times New Roman"/>
                <w:sz w:val="24"/>
                <w:szCs w:val="24"/>
              </w:rPr>
              <w:t>40 mg</w:t>
            </w:r>
            <w:r w:rsidRPr="000D0BF4">
              <w:rPr>
                <w:rFonts w:ascii="Times New Roman" w:eastAsia="宋体" w:hAnsi="Times New Roman" w:cs="Times New Roman"/>
                <w:sz w:val="24"/>
                <w:szCs w:val="24"/>
              </w:rPr>
              <w:t>）</w:t>
            </w:r>
          </w:p>
        </w:tc>
        <w:tc>
          <w:tcPr>
            <w:tcW w:w="1325" w:type="dxa"/>
            <w:tcBorders>
              <w:top w:val="single" w:sz="4" w:space="0" w:color="auto"/>
            </w:tcBorders>
            <w:shd w:val="clear" w:color="auto" w:fill="auto"/>
            <w:tcMar>
              <w:top w:w="29" w:type="dxa"/>
              <w:left w:w="65" w:type="dxa"/>
              <w:bottom w:w="29" w:type="dxa"/>
              <w:right w:w="65" w:type="dxa"/>
            </w:tcMar>
            <w:vAlign w:val="center"/>
          </w:tcPr>
          <w:p w:rsidR="000D0BF4" w:rsidRPr="000D0BF4" w:rsidRDefault="000D0BF4" w:rsidP="003573E7">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1.3</w:t>
            </w:r>
            <w:r w:rsidR="003573E7">
              <w:rPr>
                <w:rFonts w:ascii="宋体" w:eastAsia="宋体" w:hAnsi="宋体" w:cs="Times New Roman" w:hint="eastAsia"/>
                <w:sz w:val="24"/>
                <w:szCs w:val="24"/>
              </w:rPr>
              <w:t>～</w:t>
            </w:r>
            <w:r w:rsidRPr="000D0BF4">
              <w:rPr>
                <w:rFonts w:ascii="Times New Roman" w:eastAsia="宋体" w:hAnsi="Times New Roman" w:cs="Times New Roman"/>
                <w:sz w:val="24"/>
                <w:szCs w:val="24"/>
              </w:rPr>
              <w:t>1.7</w:t>
            </w:r>
          </w:p>
        </w:tc>
        <w:tc>
          <w:tcPr>
            <w:tcW w:w="1325" w:type="dxa"/>
            <w:tcBorders>
              <w:top w:val="single" w:sz="4" w:space="0" w:color="auto"/>
            </w:tcBorders>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1.1</w:t>
            </w:r>
            <w:r w:rsidRPr="000D0BF4">
              <w:rPr>
                <w:rFonts w:ascii="Times New Roman" w:eastAsia="宋体" w:hAnsi="Times New Roman" w:cs="Times New Roman" w:hint="eastAsia"/>
                <w:sz w:val="24"/>
                <w:szCs w:val="24"/>
              </w:rPr>
              <w:t>～</w:t>
            </w:r>
            <w:r w:rsidRPr="000D0BF4">
              <w:rPr>
                <w:rFonts w:ascii="Times New Roman" w:eastAsia="宋体" w:hAnsi="Times New Roman" w:cs="Times New Roman"/>
                <w:sz w:val="24"/>
                <w:szCs w:val="24"/>
              </w:rPr>
              <w:t>1.7</w:t>
            </w:r>
          </w:p>
        </w:tc>
        <w:tc>
          <w:tcPr>
            <w:tcW w:w="1334" w:type="dxa"/>
            <w:tcBorders>
              <w:top w:val="single" w:sz="4" w:space="0" w:color="auto"/>
            </w:tcBorders>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0.9</w:t>
            </w:r>
            <w:r w:rsidRPr="000D0BF4">
              <w:rPr>
                <w:rFonts w:ascii="Times New Roman" w:eastAsia="宋体" w:hAnsi="Times New Roman" w:cs="Times New Roman" w:hint="eastAsia"/>
                <w:sz w:val="24"/>
                <w:szCs w:val="24"/>
              </w:rPr>
              <w:t>～</w:t>
            </w:r>
            <w:r w:rsidRPr="000D0BF4">
              <w:rPr>
                <w:rFonts w:ascii="Times New Roman" w:eastAsia="宋体" w:hAnsi="Times New Roman" w:cs="Times New Roman"/>
                <w:sz w:val="24"/>
                <w:szCs w:val="24"/>
              </w:rPr>
              <w:t>1.9</w:t>
            </w:r>
          </w:p>
        </w:tc>
      </w:tr>
      <w:tr w:rsidR="000D0BF4" w:rsidRPr="000D0BF4" w:rsidTr="00210739">
        <w:trPr>
          <w:trHeight w:val="1019"/>
        </w:trPr>
        <w:tc>
          <w:tcPr>
            <w:tcW w:w="1604"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hint="eastAsia"/>
                <w:sz w:val="24"/>
                <w:szCs w:val="24"/>
              </w:rPr>
              <w:t>生物利用度</w:t>
            </w:r>
            <w:r w:rsidRPr="000D0BF4">
              <w:rPr>
                <w:rFonts w:ascii="Times New Roman" w:eastAsia="宋体" w:hAnsi="Times New Roman" w:cs="Times New Roman"/>
                <w:sz w:val="24"/>
                <w:szCs w:val="24"/>
              </w:rPr>
              <w:t>/%</w:t>
            </w:r>
          </w:p>
        </w:tc>
        <w:tc>
          <w:tcPr>
            <w:tcW w:w="1798"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30</w:t>
            </w:r>
            <w:r w:rsidRPr="000D0BF4">
              <w:rPr>
                <w:rFonts w:ascii="Times New Roman" w:eastAsia="宋体" w:hAnsi="Times New Roman" w:cs="Times New Roman" w:hint="eastAsia"/>
                <w:sz w:val="24"/>
                <w:szCs w:val="24"/>
              </w:rPr>
              <w:t>～</w:t>
            </w:r>
            <w:r w:rsidRPr="000D0BF4">
              <w:rPr>
                <w:rFonts w:ascii="Times New Roman" w:eastAsia="宋体" w:hAnsi="Times New Roman" w:cs="Times New Roman"/>
                <w:sz w:val="24"/>
                <w:szCs w:val="24"/>
              </w:rPr>
              <w:t>40</w:t>
            </w:r>
          </w:p>
          <w:p w:rsidR="000D0BF4" w:rsidRPr="000D0BF4" w:rsidRDefault="000D0BF4" w:rsidP="002D7D9A">
            <w:pPr>
              <w:jc w:val="center"/>
              <w:rPr>
                <w:rFonts w:ascii="Times New Roman" w:eastAsia="宋体" w:hAnsi="Times New Roman" w:cs="Times New Roman"/>
                <w:sz w:val="24"/>
                <w:szCs w:val="24"/>
              </w:rPr>
            </w:pPr>
            <w:r w:rsidRPr="00210739">
              <w:rPr>
                <w:rFonts w:ascii="Times New Roman" w:eastAsia="宋体" w:hAnsi="Times New Roman" w:cs="Times New Roman"/>
                <w:sz w:val="21"/>
                <w:szCs w:val="24"/>
              </w:rPr>
              <w:t>(</w:t>
            </w:r>
            <w:r w:rsidRPr="00210739">
              <w:rPr>
                <w:rFonts w:ascii="Times New Roman" w:eastAsia="宋体" w:hAnsi="Times New Roman" w:cs="Times New Roman"/>
                <w:sz w:val="21"/>
                <w:szCs w:val="24"/>
              </w:rPr>
              <w:t>多次给药后升高</w:t>
            </w:r>
            <w:r w:rsidRPr="00210739">
              <w:rPr>
                <w:rFonts w:ascii="Times New Roman" w:eastAsia="宋体" w:hAnsi="Times New Roman" w:cs="Times New Roman"/>
                <w:sz w:val="21"/>
                <w:szCs w:val="24"/>
              </w:rPr>
              <w:t>)</w:t>
            </w:r>
          </w:p>
        </w:tc>
        <w:tc>
          <w:tcPr>
            <w:tcW w:w="1893" w:type="dxa"/>
            <w:shd w:val="clear" w:color="auto" w:fill="auto"/>
            <w:tcMar>
              <w:top w:w="29" w:type="dxa"/>
              <w:left w:w="58" w:type="dxa"/>
              <w:bottom w:w="29" w:type="dxa"/>
              <w:right w:w="58"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68</w:t>
            </w:r>
            <w:r w:rsidRPr="000D0BF4">
              <w:rPr>
                <w:rFonts w:ascii="Times New Roman" w:eastAsia="宋体" w:hAnsi="Times New Roman" w:cs="Times New Roman"/>
                <w:sz w:val="24"/>
                <w:szCs w:val="24"/>
              </w:rPr>
              <w:t>（</w:t>
            </w:r>
            <w:r w:rsidRPr="000D0BF4">
              <w:rPr>
                <w:rFonts w:ascii="Times New Roman" w:eastAsia="宋体" w:hAnsi="Times New Roman" w:cs="Times New Roman"/>
                <w:sz w:val="24"/>
                <w:szCs w:val="24"/>
              </w:rPr>
              <w:t>20 mg</w:t>
            </w:r>
            <w:r w:rsidRPr="000D0BF4">
              <w:rPr>
                <w:rFonts w:ascii="Times New Roman" w:eastAsia="宋体" w:hAnsi="Times New Roman" w:cs="Times New Roman"/>
                <w:sz w:val="24"/>
                <w:szCs w:val="24"/>
              </w:rPr>
              <w:t>）</w:t>
            </w:r>
          </w:p>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89</w:t>
            </w:r>
            <w:r w:rsidRPr="000D0BF4">
              <w:rPr>
                <w:rFonts w:ascii="Times New Roman" w:eastAsia="宋体" w:hAnsi="Times New Roman" w:cs="Times New Roman"/>
                <w:sz w:val="24"/>
                <w:szCs w:val="24"/>
              </w:rPr>
              <w:t>（</w:t>
            </w:r>
            <w:r w:rsidRPr="000D0BF4">
              <w:rPr>
                <w:rFonts w:ascii="Times New Roman" w:eastAsia="宋体" w:hAnsi="Times New Roman" w:cs="Times New Roman"/>
                <w:sz w:val="24"/>
                <w:szCs w:val="24"/>
              </w:rPr>
              <w:t>40 mg</w:t>
            </w:r>
            <w:r w:rsidRPr="000D0BF4">
              <w:rPr>
                <w:rFonts w:ascii="Times New Roman" w:eastAsia="宋体" w:hAnsi="Times New Roman" w:cs="Times New Roman"/>
                <w:sz w:val="24"/>
                <w:szCs w:val="24"/>
              </w:rPr>
              <w:t>）</w:t>
            </w:r>
          </w:p>
        </w:tc>
        <w:tc>
          <w:tcPr>
            <w:tcW w:w="1325"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80</w:t>
            </w:r>
            <w:r w:rsidRPr="000D0BF4">
              <w:rPr>
                <w:rFonts w:ascii="Times New Roman" w:eastAsia="宋体" w:hAnsi="Times New Roman" w:cs="Times New Roman" w:hint="eastAsia"/>
                <w:sz w:val="24"/>
                <w:szCs w:val="24"/>
              </w:rPr>
              <w:t>～</w:t>
            </w:r>
            <w:r w:rsidRPr="000D0BF4">
              <w:rPr>
                <w:rFonts w:ascii="Times New Roman" w:eastAsia="宋体" w:hAnsi="Times New Roman" w:cs="Times New Roman"/>
                <w:sz w:val="24"/>
                <w:szCs w:val="24"/>
              </w:rPr>
              <w:t>85</w:t>
            </w:r>
          </w:p>
        </w:tc>
        <w:tc>
          <w:tcPr>
            <w:tcW w:w="1325"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52</w:t>
            </w:r>
          </w:p>
        </w:tc>
        <w:tc>
          <w:tcPr>
            <w:tcW w:w="1334"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77</w:t>
            </w:r>
          </w:p>
        </w:tc>
      </w:tr>
      <w:tr w:rsidR="000D0BF4" w:rsidRPr="000D0BF4" w:rsidTr="00210739">
        <w:trPr>
          <w:trHeight w:val="487"/>
        </w:trPr>
        <w:tc>
          <w:tcPr>
            <w:tcW w:w="1604"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AUC</w:t>
            </w:r>
          </w:p>
        </w:tc>
        <w:tc>
          <w:tcPr>
            <w:tcW w:w="1798"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1.11</w:t>
            </w:r>
          </w:p>
        </w:tc>
        <w:tc>
          <w:tcPr>
            <w:tcW w:w="1893" w:type="dxa"/>
            <w:shd w:val="clear" w:color="auto" w:fill="auto"/>
            <w:tcMar>
              <w:top w:w="29" w:type="dxa"/>
              <w:left w:w="58" w:type="dxa"/>
              <w:bottom w:w="29" w:type="dxa"/>
              <w:right w:w="58"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11.21</w:t>
            </w:r>
          </w:p>
        </w:tc>
        <w:tc>
          <w:tcPr>
            <w:tcW w:w="1325"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5.01</w:t>
            </w:r>
          </w:p>
        </w:tc>
        <w:tc>
          <w:tcPr>
            <w:tcW w:w="1325"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2.12</w:t>
            </w:r>
          </w:p>
        </w:tc>
        <w:tc>
          <w:tcPr>
            <w:tcW w:w="1334"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9.93</w:t>
            </w:r>
          </w:p>
        </w:tc>
      </w:tr>
      <w:tr w:rsidR="000D0BF4" w:rsidRPr="000D0BF4" w:rsidTr="00210739">
        <w:trPr>
          <w:trHeight w:val="487"/>
        </w:trPr>
        <w:tc>
          <w:tcPr>
            <w:tcW w:w="1604"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proofErr w:type="spellStart"/>
            <w:r w:rsidRPr="000D0BF4">
              <w:rPr>
                <w:rFonts w:ascii="Times New Roman" w:eastAsia="宋体" w:hAnsi="Times New Roman" w:cs="Times New Roman"/>
                <w:sz w:val="24"/>
                <w:szCs w:val="24"/>
              </w:rPr>
              <w:t>T</w:t>
            </w:r>
            <w:r w:rsidRPr="000D0BF4">
              <w:rPr>
                <w:rFonts w:ascii="Times New Roman" w:eastAsia="宋体" w:hAnsi="Times New Roman" w:cs="Times New Roman"/>
                <w:sz w:val="24"/>
                <w:szCs w:val="24"/>
                <w:vertAlign w:val="subscript"/>
              </w:rPr>
              <w:t>max</w:t>
            </w:r>
            <w:proofErr w:type="spellEnd"/>
            <w:r w:rsidRPr="000D0BF4">
              <w:rPr>
                <w:rFonts w:ascii="Times New Roman" w:eastAsia="宋体" w:hAnsi="Times New Roman" w:cs="Times New Roman"/>
                <w:sz w:val="24"/>
                <w:szCs w:val="24"/>
              </w:rPr>
              <w:t>/h</w:t>
            </w:r>
          </w:p>
        </w:tc>
        <w:tc>
          <w:tcPr>
            <w:tcW w:w="1798"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0.5</w:t>
            </w:r>
            <w:r w:rsidRPr="000D0BF4">
              <w:rPr>
                <w:rFonts w:ascii="Times New Roman" w:eastAsia="宋体" w:hAnsi="Times New Roman" w:cs="Times New Roman" w:hint="eastAsia"/>
                <w:sz w:val="24"/>
                <w:szCs w:val="24"/>
              </w:rPr>
              <w:t>～</w:t>
            </w:r>
            <w:r w:rsidRPr="000D0BF4">
              <w:rPr>
                <w:rFonts w:ascii="Times New Roman" w:eastAsia="宋体" w:hAnsi="Times New Roman" w:cs="Times New Roman"/>
                <w:sz w:val="24"/>
                <w:szCs w:val="24"/>
              </w:rPr>
              <w:t>3.5</w:t>
            </w:r>
          </w:p>
        </w:tc>
        <w:tc>
          <w:tcPr>
            <w:tcW w:w="1893" w:type="dxa"/>
            <w:shd w:val="clear" w:color="auto" w:fill="auto"/>
            <w:tcMar>
              <w:top w:w="29" w:type="dxa"/>
              <w:left w:w="58" w:type="dxa"/>
              <w:bottom w:w="29" w:type="dxa"/>
              <w:right w:w="58"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1.6</w:t>
            </w:r>
          </w:p>
        </w:tc>
        <w:tc>
          <w:tcPr>
            <w:tcW w:w="1325"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1.7</w:t>
            </w:r>
          </w:p>
        </w:tc>
        <w:tc>
          <w:tcPr>
            <w:tcW w:w="1325"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3.5</w:t>
            </w:r>
          </w:p>
        </w:tc>
        <w:tc>
          <w:tcPr>
            <w:tcW w:w="1334"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2.5</w:t>
            </w:r>
          </w:p>
        </w:tc>
      </w:tr>
      <w:tr w:rsidR="000D0BF4" w:rsidRPr="000D0BF4" w:rsidTr="00210739">
        <w:trPr>
          <w:trHeight w:val="487"/>
        </w:trPr>
        <w:tc>
          <w:tcPr>
            <w:tcW w:w="1604"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proofErr w:type="spellStart"/>
            <w:r w:rsidRPr="000D0BF4">
              <w:rPr>
                <w:rFonts w:ascii="Times New Roman" w:eastAsia="宋体" w:hAnsi="Times New Roman" w:cs="Times New Roman"/>
                <w:sz w:val="24"/>
                <w:szCs w:val="24"/>
              </w:rPr>
              <w:t>C</w:t>
            </w:r>
            <w:r w:rsidRPr="000D0BF4">
              <w:rPr>
                <w:rFonts w:ascii="Times New Roman" w:eastAsia="宋体" w:hAnsi="Times New Roman" w:cs="Times New Roman"/>
                <w:sz w:val="24"/>
                <w:szCs w:val="24"/>
                <w:vertAlign w:val="subscript"/>
              </w:rPr>
              <w:t>max</w:t>
            </w:r>
            <w:proofErr w:type="spellEnd"/>
            <w:r w:rsidRPr="000D0BF4">
              <w:rPr>
                <w:rFonts w:ascii="Times New Roman" w:eastAsia="宋体" w:hAnsi="Times New Roman" w:cs="Times New Roman"/>
                <w:sz w:val="24"/>
                <w:szCs w:val="24"/>
              </w:rPr>
              <w:t>/mg</w:t>
            </w:r>
            <w:r w:rsidRPr="000D0BF4">
              <w:rPr>
                <w:rFonts w:ascii="Times New Roman" w:eastAsia="宋体" w:hAnsi="Times New Roman" w:cs="Times New Roman" w:hint="eastAsia"/>
                <w:sz w:val="24"/>
                <w:szCs w:val="24"/>
              </w:rPr>
              <w:t>﹒</w:t>
            </w:r>
            <w:r w:rsidRPr="000D0BF4">
              <w:rPr>
                <w:rFonts w:ascii="Times New Roman" w:eastAsia="宋体" w:hAnsi="Times New Roman" w:cs="Times New Roman"/>
                <w:sz w:val="24"/>
                <w:szCs w:val="24"/>
              </w:rPr>
              <w:t>L</w:t>
            </w:r>
            <w:r w:rsidRPr="000D0BF4">
              <w:rPr>
                <w:rFonts w:ascii="Times New Roman" w:eastAsia="宋体" w:hAnsi="Times New Roman" w:cs="Times New Roman"/>
                <w:sz w:val="24"/>
                <w:szCs w:val="24"/>
                <w:vertAlign w:val="superscript"/>
              </w:rPr>
              <w:t>-1</w:t>
            </w:r>
          </w:p>
        </w:tc>
        <w:tc>
          <w:tcPr>
            <w:tcW w:w="1798"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1.07</w:t>
            </w:r>
          </w:p>
        </w:tc>
        <w:tc>
          <w:tcPr>
            <w:tcW w:w="1893" w:type="dxa"/>
            <w:shd w:val="clear" w:color="auto" w:fill="auto"/>
            <w:tcMar>
              <w:top w:w="29" w:type="dxa"/>
              <w:left w:w="58" w:type="dxa"/>
              <w:bottom w:w="29" w:type="dxa"/>
              <w:right w:w="58"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2.1</w:t>
            </w:r>
            <w:r w:rsidRPr="000D0BF4">
              <w:rPr>
                <w:rFonts w:ascii="Times New Roman" w:eastAsia="宋体" w:hAnsi="Times New Roman" w:cs="Times New Roman" w:hint="eastAsia"/>
                <w:sz w:val="24"/>
                <w:szCs w:val="24"/>
              </w:rPr>
              <w:t>～</w:t>
            </w:r>
            <w:r w:rsidRPr="000D0BF4">
              <w:rPr>
                <w:rFonts w:ascii="Times New Roman" w:eastAsia="宋体" w:hAnsi="Times New Roman" w:cs="Times New Roman"/>
                <w:sz w:val="24"/>
                <w:szCs w:val="24"/>
              </w:rPr>
              <w:t>4.7</w:t>
            </w:r>
          </w:p>
        </w:tc>
        <w:tc>
          <w:tcPr>
            <w:tcW w:w="1325"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2.21</w:t>
            </w:r>
          </w:p>
        </w:tc>
        <w:tc>
          <w:tcPr>
            <w:tcW w:w="1325"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1.07</w:t>
            </w:r>
          </w:p>
        </w:tc>
        <w:tc>
          <w:tcPr>
            <w:tcW w:w="1334"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5.55</w:t>
            </w:r>
          </w:p>
        </w:tc>
      </w:tr>
      <w:tr w:rsidR="000D0BF4" w:rsidRPr="000D0BF4" w:rsidTr="00210739">
        <w:trPr>
          <w:trHeight w:val="487"/>
        </w:trPr>
        <w:tc>
          <w:tcPr>
            <w:tcW w:w="1604"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hint="eastAsia"/>
                <w:sz w:val="24"/>
                <w:szCs w:val="24"/>
              </w:rPr>
              <w:t>蛋白结合率</w:t>
            </w:r>
            <w:r w:rsidRPr="000D0BF4">
              <w:rPr>
                <w:rFonts w:ascii="Times New Roman" w:eastAsia="宋体" w:hAnsi="Times New Roman" w:cs="Times New Roman"/>
                <w:sz w:val="24"/>
                <w:szCs w:val="24"/>
              </w:rPr>
              <w:t>/%</w:t>
            </w:r>
          </w:p>
        </w:tc>
        <w:tc>
          <w:tcPr>
            <w:tcW w:w="1798"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95</w:t>
            </w:r>
          </w:p>
        </w:tc>
        <w:tc>
          <w:tcPr>
            <w:tcW w:w="1893" w:type="dxa"/>
            <w:shd w:val="clear" w:color="auto" w:fill="auto"/>
            <w:tcMar>
              <w:top w:w="29" w:type="dxa"/>
              <w:left w:w="58" w:type="dxa"/>
              <w:bottom w:w="29" w:type="dxa"/>
              <w:right w:w="58"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97</w:t>
            </w:r>
          </w:p>
        </w:tc>
        <w:tc>
          <w:tcPr>
            <w:tcW w:w="1325"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97</w:t>
            </w:r>
          </w:p>
        </w:tc>
        <w:tc>
          <w:tcPr>
            <w:tcW w:w="1325"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96.3</w:t>
            </w:r>
          </w:p>
        </w:tc>
        <w:tc>
          <w:tcPr>
            <w:tcW w:w="1334"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98</w:t>
            </w:r>
          </w:p>
        </w:tc>
      </w:tr>
      <w:tr w:rsidR="000D0BF4" w:rsidRPr="000D0BF4" w:rsidTr="00210739">
        <w:trPr>
          <w:trHeight w:val="487"/>
        </w:trPr>
        <w:tc>
          <w:tcPr>
            <w:tcW w:w="1604"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hint="eastAsia"/>
                <w:sz w:val="24"/>
                <w:szCs w:val="24"/>
              </w:rPr>
              <w:t>主要代谢途径</w:t>
            </w:r>
          </w:p>
        </w:tc>
        <w:tc>
          <w:tcPr>
            <w:tcW w:w="1798"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CYP2C19</w:t>
            </w:r>
          </w:p>
        </w:tc>
        <w:tc>
          <w:tcPr>
            <w:tcW w:w="1893" w:type="dxa"/>
            <w:shd w:val="clear" w:color="auto" w:fill="auto"/>
            <w:tcMar>
              <w:top w:w="29" w:type="dxa"/>
              <w:left w:w="58" w:type="dxa"/>
              <w:bottom w:w="29" w:type="dxa"/>
              <w:right w:w="58"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CYP2C19</w:t>
            </w:r>
          </w:p>
        </w:tc>
        <w:tc>
          <w:tcPr>
            <w:tcW w:w="1325"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CYP2C19</w:t>
            </w:r>
          </w:p>
        </w:tc>
        <w:tc>
          <w:tcPr>
            <w:tcW w:w="1325"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hint="eastAsia"/>
                <w:sz w:val="24"/>
                <w:szCs w:val="24"/>
              </w:rPr>
              <w:t>非酶</w:t>
            </w:r>
          </w:p>
        </w:tc>
        <w:tc>
          <w:tcPr>
            <w:tcW w:w="1334"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CYP2C19</w:t>
            </w:r>
          </w:p>
        </w:tc>
      </w:tr>
      <w:tr w:rsidR="000D0BF4" w:rsidRPr="000D0BF4" w:rsidTr="00210739">
        <w:trPr>
          <w:trHeight w:val="487"/>
        </w:trPr>
        <w:tc>
          <w:tcPr>
            <w:tcW w:w="1604"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hint="eastAsia"/>
                <w:sz w:val="24"/>
                <w:szCs w:val="24"/>
              </w:rPr>
              <w:t>次要代谢途径</w:t>
            </w:r>
          </w:p>
        </w:tc>
        <w:tc>
          <w:tcPr>
            <w:tcW w:w="1798"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CYP3A4</w:t>
            </w:r>
          </w:p>
        </w:tc>
        <w:tc>
          <w:tcPr>
            <w:tcW w:w="1893" w:type="dxa"/>
            <w:shd w:val="clear" w:color="auto" w:fill="auto"/>
            <w:tcMar>
              <w:top w:w="29" w:type="dxa"/>
              <w:left w:w="58" w:type="dxa"/>
              <w:bottom w:w="29" w:type="dxa"/>
              <w:right w:w="58"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CYP3A4</w:t>
            </w:r>
            <w:r w:rsidRPr="000D0BF4">
              <w:rPr>
                <w:rFonts w:ascii="Times New Roman" w:eastAsia="宋体" w:hAnsi="Times New Roman" w:cs="Times New Roman"/>
                <w:sz w:val="24"/>
                <w:szCs w:val="24"/>
              </w:rPr>
              <w:t>（多于奥美拉</w:t>
            </w:r>
            <w:proofErr w:type="gramStart"/>
            <w:r w:rsidRPr="000D0BF4">
              <w:rPr>
                <w:rFonts w:ascii="Times New Roman" w:eastAsia="宋体" w:hAnsi="Times New Roman" w:cs="Times New Roman" w:hint="eastAsia"/>
                <w:sz w:val="24"/>
                <w:szCs w:val="24"/>
              </w:rPr>
              <w:t>唑</w:t>
            </w:r>
            <w:proofErr w:type="gramEnd"/>
            <w:r w:rsidRPr="000D0BF4">
              <w:rPr>
                <w:rFonts w:ascii="Times New Roman" w:eastAsia="宋体" w:hAnsi="Times New Roman" w:cs="Times New Roman" w:hint="eastAsia"/>
                <w:sz w:val="24"/>
                <w:szCs w:val="24"/>
              </w:rPr>
              <w:t>）</w:t>
            </w:r>
          </w:p>
        </w:tc>
        <w:tc>
          <w:tcPr>
            <w:tcW w:w="1325"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CYP3A4</w:t>
            </w:r>
          </w:p>
        </w:tc>
        <w:tc>
          <w:tcPr>
            <w:tcW w:w="1325" w:type="dxa"/>
            <w:shd w:val="clear" w:color="auto" w:fill="auto"/>
            <w:tcMar>
              <w:top w:w="29" w:type="dxa"/>
              <w:left w:w="65" w:type="dxa"/>
              <w:bottom w:w="29" w:type="dxa"/>
              <w:right w:w="65" w:type="dxa"/>
            </w:tcMar>
            <w:vAlign w:val="center"/>
          </w:tcPr>
          <w:p w:rsidR="000D0BF4" w:rsidRPr="000D0BF4" w:rsidRDefault="000D0BF4" w:rsidP="00210739">
            <w:pPr>
              <w:spacing w:after="0"/>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CYP2C19</w:t>
            </w:r>
          </w:p>
          <w:p w:rsidR="000D0BF4" w:rsidRPr="000D0BF4" w:rsidRDefault="000D0BF4" w:rsidP="00210739">
            <w:pPr>
              <w:spacing w:after="0"/>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CYP3A4</w:t>
            </w:r>
          </w:p>
        </w:tc>
        <w:tc>
          <w:tcPr>
            <w:tcW w:w="1334"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sz w:val="24"/>
                <w:szCs w:val="24"/>
              </w:rPr>
              <w:t>CYP3A4</w:t>
            </w:r>
          </w:p>
        </w:tc>
      </w:tr>
      <w:tr w:rsidR="000D0BF4" w:rsidRPr="000D0BF4" w:rsidTr="00210739">
        <w:trPr>
          <w:trHeight w:val="487"/>
        </w:trPr>
        <w:tc>
          <w:tcPr>
            <w:tcW w:w="1604"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hint="eastAsia"/>
                <w:sz w:val="24"/>
                <w:szCs w:val="24"/>
              </w:rPr>
              <w:t>主要消除途径</w:t>
            </w:r>
          </w:p>
        </w:tc>
        <w:tc>
          <w:tcPr>
            <w:tcW w:w="1798"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hint="eastAsia"/>
                <w:sz w:val="24"/>
                <w:szCs w:val="24"/>
              </w:rPr>
              <w:t>尿（</w:t>
            </w:r>
            <w:r w:rsidRPr="000D0BF4">
              <w:rPr>
                <w:rFonts w:ascii="Times New Roman" w:eastAsia="宋体" w:hAnsi="Times New Roman" w:cs="Times New Roman"/>
                <w:sz w:val="24"/>
                <w:szCs w:val="24"/>
              </w:rPr>
              <w:t>77%</w:t>
            </w:r>
            <w:r w:rsidRPr="000D0BF4">
              <w:rPr>
                <w:rFonts w:ascii="Times New Roman" w:eastAsia="宋体" w:hAnsi="Times New Roman" w:cs="Times New Roman"/>
                <w:sz w:val="24"/>
                <w:szCs w:val="24"/>
              </w:rPr>
              <w:t>）</w:t>
            </w:r>
          </w:p>
        </w:tc>
        <w:tc>
          <w:tcPr>
            <w:tcW w:w="1893" w:type="dxa"/>
            <w:shd w:val="clear" w:color="auto" w:fill="auto"/>
            <w:tcMar>
              <w:top w:w="29" w:type="dxa"/>
              <w:left w:w="58" w:type="dxa"/>
              <w:bottom w:w="29" w:type="dxa"/>
              <w:right w:w="58"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hint="eastAsia"/>
                <w:sz w:val="24"/>
                <w:szCs w:val="24"/>
              </w:rPr>
              <w:t>尿（</w:t>
            </w:r>
            <w:r w:rsidRPr="000D0BF4">
              <w:rPr>
                <w:rFonts w:ascii="Times New Roman" w:eastAsia="宋体" w:hAnsi="Times New Roman" w:cs="Times New Roman"/>
                <w:sz w:val="24"/>
                <w:szCs w:val="24"/>
              </w:rPr>
              <w:t>80%</w:t>
            </w:r>
            <w:r w:rsidRPr="000D0BF4">
              <w:rPr>
                <w:rFonts w:ascii="Times New Roman" w:eastAsia="宋体" w:hAnsi="Times New Roman" w:cs="Times New Roman"/>
                <w:sz w:val="24"/>
                <w:szCs w:val="24"/>
              </w:rPr>
              <w:t>）</w:t>
            </w:r>
          </w:p>
        </w:tc>
        <w:tc>
          <w:tcPr>
            <w:tcW w:w="1325"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hint="eastAsia"/>
                <w:sz w:val="24"/>
                <w:szCs w:val="24"/>
              </w:rPr>
              <w:t>尿（</w:t>
            </w:r>
            <w:r w:rsidRPr="000D0BF4">
              <w:rPr>
                <w:rFonts w:ascii="Times New Roman" w:eastAsia="宋体" w:hAnsi="Times New Roman" w:cs="Times New Roman"/>
                <w:sz w:val="24"/>
                <w:szCs w:val="24"/>
              </w:rPr>
              <w:t>80%</w:t>
            </w:r>
            <w:r w:rsidRPr="000D0BF4">
              <w:rPr>
                <w:rFonts w:ascii="Times New Roman" w:eastAsia="宋体" w:hAnsi="Times New Roman" w:cs="Times New Roman"/>
                <w:sz w:val="24"/>
                <w:szCs w:val="24"/>
              </w:rPr>
              <w:t>）</w:t>
            </w:r>
          </w:p>
        </w:tc>
        <w:tc>
          <w:tcPr>
            <w:tcW w:w="1325"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hint="eastAsia"/>
                <w:sz w:val="24"/>
                <w:szCs w:val="24"/>
              </w:rPr>
              <w:t>尿（</w:t>
            </w:r>
            <w:r w:rsidRPr="000D0BF4">
              <w:rPr>
                <w:rFonts w:ascii="Times New Roman" w:eastAsia="宋体" w:hAnsi="Times New Roman" w:cs="Times New Roman"/>
                <w:sz w:val="24"/>
                <w:szCs w:val="24"/>
              </w:rPr>
              <w:t>90%</w:t>
            </w:r>
            <w:r w:rsidRPr="000D0BF4">
              <w:rPr>
                <w:rFonts w:ascii="Times New Roman" w:eastAsia="宋体" w:hAnsi="Times New Roman" w:cs="Times New Roman"/>
                <w:sz w:val="24"/>
                <w:szCs w:val="24"/>
              </w:rPr>
              <w:t>）</w:t>
            </w:r>
          </w:p>
        </w:tc>
        <w:tc>
          <w:tcPr>
            <w:tcW w:w="1334" w:type="dxa"/>
            <w:shd w:val="clear" w:color="auto" w:fill="auto"/>
            <w:tcMar>
              <w:top w:w="29" w:type="dxa"/>
              <w:left w:w="65" w:type="dxa"/>
              <w:bottom w:w="29" w:type="dxa"/>
              <w:right w:w="65" w:type="dxa"/>
            </w:tcMar>
            <w:vAlign w:val="center"/>
          </w:tcPr>
          <w:p w:rsidR="000D0BF4" w:rsidRPr="000D0BF4" w:rsidRDefault="000D0BF4" w:rsidP="002D7D9A">
            <w:pPr>
              <w:jc w:val="center"/>
              <w:rPr>
                <w:rFonts w:ascii="Times New Roman" w:eastAsia="宋体" w:hAnsi="Times New Roman" w:cs="Times New Roman"/>
                <w:sz w:val="24"/>
                <w:szCs w:val="24"/>
              </w:rPr>
            </w:pPr>
            <w:r w:rsidRPr="000D0BF4">
              <w:rPr>
                <w:rFonts w:ascii="Times New Roman" w:eastAsia="宋体" w:hAnsi="Times New Roman" w:cs="Times New Roman" w:hint="eastAsia"/>
                <w:sz w:val="24"/>
                <w:szCs w:val="24"/>
              </w:rPr>
              <w:t>尿（</w:t>
            </w:r>
            <w:r w:rsidRPr="000D0BF4">
              <w:rPr>
                <w:rFonts w:ascii="Times New Roman" w:eastAsia="宋体" w:hAnsi="Times New Roman" w:cs="Times New Roman"/>
                <w:sz w:val="24"/>
                <w:szCs w:val="24"/>
              </w:rPr>
              <w:t>80%</w:t>
            </w:r>
            <w:r w:rsidRPr="000D0BF4">
              <w:rPr>
                <w:rFonts w:ascii="Times New Roman" w:eastAsia="宋体" w:hAnsi="Times New Roman" w:cs="Times New Roman"/>
                <w:sz w:val="24"/>
                <w:szCs w:val="24"/>
              </w:rPr>
              <w:t>）</w:t>
            </w:r>
          </w:p>
        </w:tc>
      </w:tr>
    </w:tbl>
    <w:p w:rsidR="007A5BD9" w:rsidRDefault="007A5BD9">
      <w:pPr>
        <w:rPr>
          <w:rFonts w:ascii="微软雅黑" w:eastAsia="微软雅黑" w:hAnsi="微软雅黑" w:cs="宋体"/>
          <w:sz w:val="20"/>
        </w:rPr>
      </w:pPr>
    </w:p>
    <w:p w:rsidR="007A5BD9" w:rsidRPr="007530BA" w:rsidRDefault="007530BA" w:rsidP="007530BA">
      <w:pPr>
        <w:spacing w:after="0" w:line="276" w:lineRule="auto"/>
        <w:rPr>
          <w:rFonts w:ascii="Times New Roman" w:eastAsia="仿宋" w:hAnsi="Times New Roman" w:cs="Times New Roman"/>
          <w:sz w:val="24"/>
          <w:szCs w:val="24"/>
        </w:rPr>
      </w:pPr>
      <w:r w:rsidRPr="007530BA">
        <w:rPr>
          <w:rFonts w:ascii="黑体" w:eastAsia="黑体" w:hAnsi="黑体" w:cs="宋体" w:hint="eastAsia"/>
          <w:sz w:val="24"/>
          <w:szCs w:val="24"/>
        </w:rPr>
        <w:t xml:space="preserve">4.2 </w:t>
      </w:r>
      <w:r w:rsidRPr="007530BA">
        <w:rPr>
          <w:rFonts w:ascii="宋体" w:eastAsia="宋体" w:hAnsi="宋体" w:cs="宋体" w:hint="eastAsia"/>
          <w:b/>
          <w:sz w:val="24"/>
          <w:szCs w:val="24"/>
        </w:rPr>
        <w:t xml:space="preserve"> </w:t>
      </w:r>
      <w:r w:rsidR="006F57AF" w:rsidRPr="007530BA">
        <w:rPr>
          <w:rFonts w:ascii="Times New Roman" w:eastAsia="仿宋" w:hAnsi="Times New Roman" w:cs="Times New Roman"/>
          <w:sz w:val="24"/>
          <w:szCs w:val="24"/>
        </w:rPr>
        <w:t>PPI</w:t>
      </w:r>
      <w:r w:rsidR="006F57AF" w:rsidRPr="007530BA">
        <w:rPr>
          <w:rFonts w:ascii="Times New Roman" w:eastAsia="仿宋" w:hAnsi="Times New Roman" w:cs="Times New Roman"/>
          <w:sz w:val="24"/>
          <w:szCs w:val="24"/>
        </w:rPr>
        <w:t>对其他药物的影响</w:t>
      </w:r>
    </w:p>
    <w:p w:rsidR="007A5BD9" w:rsidRPr="00890F61" w:rsidRDefault="006F57AF" w:rsidP="007530BA">
      <w:pPr>
        <w:spacing w:after="0" w:line="276" w:lineRule="auto"/>
        <w:ind w:firstLineChars="200" w:firstLine="480"/>
        <w:jc w:val="both"/>
        <w:rPr>
          <w:rFonts w:ascii="Times New Roman" w:eastAsia="宋体" w:hAnsi="Times New Roman" w:cs="Times New Roman"/>
          <w:sz w:val="24"/>
          <w:szCs w:val="24"/>
        </w:rPr>
      </w:pPr>
      <w:r w:rsidRPr="00890F61">
        <w:rPr>
          <w:rFonts w:ascii="Times New Roman" w:eastAsia="宋体" w:hAnsi="Times New Roman" w:cs="Times New Roman"/>
          <w:sz w:val="24"/>
          <w:szCs w:val="24"/>
        </w:rPr>
        <w:t>PPI</w:t>
      </w:r>
      <w:r w:rsidRPr="00890F61">
        <w:rPr>
          <w:rFonts w:ascii="Times New Roman" w:eastAsia="宋体" w:hAnsi="Times New Roman" w:cs="Times New Roman"/>
          <w:sz w:val="24"/>
          <w:szCs w:val="24"/>
        </w:rPr>
        <w:t>抑酸作用强大而持久，故用药期间不宜再使用其他抗酸剂或抑酸剂。抗酸剂（硫糖铝、氢氧化铝、氧化镁、碳酸氢钠）需要在酸性条件下发挥作用，与</w:t>
      </w:r>
      <w:r w:rsidRPr="00890F61">
        <w:rPr>
          <w:rFonts w:ascii="Times New Roman" w:eastAsia="宋体" w:hAnsi="Times New Roman" w:cs="Times New Roman"/>
          <w:sz w:val="24"/>
          <w:szCs w:val="24"/>
        </w:rPr>
        <w:t>PPI</w:t>
      </w:r>
      <w:r w:rsidRPr="00890F61">
        <w:rPr>
          <w:rFonts w:ascii="Times New Roman" w:eastAsia="宋体" w:hAnsi="Times New Roman" w:cs="Times New Roman"/>
          <w:sz w:val="24"/>
          <w:szCs w:val="24"/>
        </w:rPr>
        <w:t>具有药效拮抗作用。</w:t>
      </w:r>
    </w:p>
    <w:p w:rsidR="007A5BD9" w:rsidRPr="00890F61" w:rsidRDefault="006F57AF" w:rsidP="007530BA">
      <w:pPr>
        <w:spacing w:after="0" w:line="276" w:lineRule="auto"/>
        <w:ind w:firstLineChars="250" w:firstLine="600"/>
        <w:jc w:val="both"/>
        <w:rPr>
          <w:rFonts w:ascii="Times New Roman" w:eastAsia="宋体" w:hAnsi="Times New Roman" w:cs="Times New Roman"/>
          <w:sz w:val="24"/>
          <w:szCs w:val="24"/>
        </w:rPr>
      </w:pPr>
      <w:r w:rsidRPr="00890F61">
        <w:rPr>
          <w:rFonts w:ascii="Times New Roman" w:eastAsia="宋体" w:hAnsi="Times New Roman" w:cs="Times New Roman"/>
          <w:sz w:val="24"/>
          <w:szCs w:val="24"/>
        </w:rPr>
        <w:t>PPI</w:t>
      </w:r>
      <w:r w:rsidRPr="00890F61">
        <w:rPr>
          <w:rFonts w:ascii="Times New Roman" w:eastAsia="宋体" w:hAnsi="Times New Roman" w:cs="Times New Roman"/>
          <w:sz w:val="24"/>
          <w:szCs w:val="24"/>
        </w:rPr>
        <w:t>与其他药物合用时，可能对药物代谢产生影响。主要包括两个方面：（</w:t>
      </w:r>
      <w:r w:rsidRPr="00890F61">
        <w:rPr>
          <w:rFonts w:ascii="Times New Roman" w:eastAsia="宋体" w:hAnsi="Times New Roman" w:cs="Times New Roman"/>
          <w:sz w:val="24"/>
          <w:szCs w:val="24"/>
        </w:rPr>
        <w:t>1</w:t>
      </w:r>
      <w:r w:rsidRPr="00890F61">
        <w:rPr>
          <w:rFonts w:ascii="Times New Roman" w:eastAsia="宋体" w:hAnsi="Times New Roman" w:cs="Times New Roman"/>
          <w:sz w:val="24"/>
          <w:szCs w:val="24"/>
        </w:rPr>
        <w:t>）抑</w:t>
      </w:r>
      <w:proofErr w:type="gramStart"/>
      <w:r w:rsidRPr="00890F61">
        <w:rPr>
          <w:rFonts w:ascii="Times New Roman" w:eastAsia="宋体" w:hAnsi="Times New Roman" w:cs="Times New Roman"/>
          <w:sz w:val="24"/>
          <w:szCs w:val="24"/>
        </w:rPr>
        <w:t>酸影响</w:t>
      </w:r>
      <w:proofErr w:type="gramEnd"/>
      <w:r w:rsidRPr="00890F61">
        <w:rPr>
          <w:rFonts w:ascii="Times New Roman" w:eastAsia="宋体" w:hAnsi="Times New Roman" w:cs="Times New Roman"/>
          <w:sz w:val="24"/>
          <w:szCs w:val="24"/>
        </w:rPr>
        <w:t>药物的吸收：抑酸可减少左旋甲状腺素、酮康</w:t>
      </w:r>
      <w:proofErr w:type="gramStart"/>
      <w:r w:rsidRPr="00890F61">
        <w:rPr>
          <w:rFonts w:ascii="Times New Roman" w:eastAsia="宋体" w:hAnsi="Times New Roman" w:cs="Times New Roman"/>
          <w:sz w:val="24"/>
          <w:szCs w:val="24"/>
        </w:rPr>
        <w:t>唑</w:t>
      </w:r>
      <w:proofErr w:type="gramEnd"/>
      <w:r w:rsidRPr="00890F61">
        <w:rPr>
          <w:rFonts w:ascii="Times New Roman" w:eastAsia="宋体" w:hAnsi="Times New Roman" w:cs="Times New Roman"/>
          <w:sz w:val="24"/>
          <w:szCs w:val="24"/>
        </w:rPr>
        <w:t>、伊曲康</w:t>
      </w:r>
      <w:proofErr w:type="gramStart"/>
      <w:r w:rsidRPr="00890F61">
        <w:rPr>
          <w:rFonts w:ascii="Times New Roman" w:eastAsia="宋体" w:hAnsi="Times New Roman" w:cs="Times New Roman"/>
          <w:sz w:val="24"/>
          <w:szCs w:val="24"/>
        </w:rPr>
        <w:t>唑</w:t>
      </w:r>
      <w:proofErr w:type="gramEnd"/>
      <w:r w:rsidRPr="00890F61">
        <w:rPr>
          <w:rFonts w:ascii="Times New Roman" w:eastAsia="宋体" w:hAnsi="Times New Roman" w:cs="Times New Roman"/>
          <w:sz w:val="24"/>
          <w:szCs w:val="24"/>
        </w:rPr>
        <w:t>、阿扎那韦等吸收，也可增加硝苯地平、地高辛、阿仑</w:t>
      </w:r>
      <w:proofErr w:type="gramStart"/>
      <w:r w:rsidRPr="00890F61">
        <w:rPr>
          <w:rFonts w:ascii="Times New Roman" w:eastAsia="宋体" w:hAnsi="Times New Roman" w:cs="Times New Roman"/>
          <w:sz w:val="24"/>
          <w:szCs w:val="24"/>
        </w:rPr>
        <w:t>膦</w:t>
      </w:r>
      <w:proofErr w:type="gramEnd"/>
      <w:r w:rsidRPr="00890F61">
        <w:rPr>
          <w:rFonts w:ascii="Times New Roman" w:eastAsia="宋体" w:hAnsi="Times New Roman" w:cs="Times New Roman"/>
          <w:sz w:val="24"/>
          <w:szCs w:val="24"/>
        </w:rPr>
        <w:t>酸钠等吸收。（</w:t>
      </w:r>
      <w:r w:rsidRPr="00890F61">
        <w:rPr>
          <w:rFonts w:ascii="Times New Roman" w:eastAsia="宋体" w:hAnsi="Times New Roman" w:cs="Times New Roman"/>
          <w:sz w:val="24"/>
          <w:szCs w:val="24"/>
        </w:rPr>
        <w:t>2</w:t>
      </w:r>
      <w:r w:rsidRPr="00890F61">
        <w:rPr>
          <w:rFonts w:ascii="Times New Roman" w:eastAsia="宋体" w:hAnsi="Times New Roman" w:cs="Times New Roman"/>
          <w:sz w:val="24"/>
          <w:szCs w:val="24"/>
        </w:rPr>
        <w:t>）影响经</w:t>
      </w:r>
      <w:r w:rsidRPr="00890F61">
        <w:rPr>
          <w:rFonts w:ascii="Times New Roman" w:eastAsia="宋体" w:hAnsi="Times New Roman" w:cs="Times New Roman"/>
          <w:sz w:val="24"/>
          <w:szCs w:val="24"/>
        </w:rPr>
        <w:t>CYP450</w:t>
      </w:r>
      <w:r w:rsidRPr="00890F61">
        <w:rPr>
          <w:rFonts w:ascii="Times New Roman" w:eastAsia="宋体" w:hAnsi="Times New Roman" w:cs="Times New Roman"/>
          <w:sz w:val="24"/>
          <w:szCs w:val="24"/>
        </w:rPr>
        <w:t>酶代谢的药物：例如苯妥英钠、华法林、卡马西平、他</w:t>
      </w:r>
      <w:proofErr w:type="gramStart"/>
      <w:r w:rsidRPr="00890F61">
        <w:rPr>
          <w:rFonts w:ascii="Times New Roman" w:eastAsia="宋体" w:hAnsi="Times New Roman" w:cs="Times New Roman"/>
          <w:sz w:val="24"/>
          <w:szCs w:val="24"/>
        </w:rPr>
        <w:t>汀</w:t>
      </w:r>
      <w:proofErr w:type="gramEnd"/>
      <w:r w:rsidRPr="00890F61">
        <w:rPr>
          <w:rFonts w:ascii="Times New Roman" w:eastAsia="宋体" w:hAnsi="Times New Roman" w:cs="Times New Roman"/>
          <w:sz w:val="24"/>
          <w:szCs w:val="24"/>
        </w:rPr>
        <w:t>类、氯</w:t>
      </w:r>
      <w:proofErr w:type="gramStart"/>
      <w:r w:rsidRPr="00890F61">
        <w:rPr>
          <w:rFonts w:ascii="Times New Roman" w:eastAsia="宋体" w:hAnsi="Times New Roman" w:cs="Times New Roman"/>
          <w:sz w:val="24"/>
          <w:szCs w:val="24"/>
        </w:rPr>
        <w:t>吡</w:t>
      </w:r>
      <w:proofErr w:type="gramEnd"/>
      <w:r w:rsidRPr="00890F61">
        <w:rPr>
          <w:rFonts w:ascii="Times New Roman" w:eastAsia="宋体" w:hAnsi="Times New Roman" w:cs="Times New Roman"/>
          <w:sz w:val="24"/>
          <w:szCs w:val="24"/>
        </w:rPr>
        <w:t>格雷等。</w:t>
      </w:r>
    </w:p>
    <w:p w:rsidR="007A5BD9" w:rsidRPr="00890F61" w:rsidRDefault="006F57AF" w:rsidP="007530BA">
      <w:pPr>
        <w:spacing w:after="0" w:line="276" w:lineRule="auto"/>
        <w:ind w:firstLineChars="200" w:firstLine="480"/>
        <w:jc w:val="both"/>
        <w:rPr>
          <w:rFonts w:ascii="Times New Roman" w:eastAsia="宋体" w:hAnsi="Times New Roman" w:cs="Times New Roman"/>
          <w:sz w:val="24"/>
          <w:szCs w:val="24"/>
        </w:rPr>
      </w:pPr>
      <w:r w:rsidRPr="00890F61">
        <w:rPr>
          <w:rFonts w:ascii="Times New Roman" w:eastAsia="宋体" w:hAnsi="Times New Roman" w:cs="Times New Roman"/>
          <w:sz w:val="24"/>
          <w:szCs w:val="24"/>
        </w:rPr>
        <w:t>PPI</w:t>
      </w:r>
      <w:r w:rsidRPr="00890F61">
        <w:rPr>
          <w:rFonts w:ascii="Times New Roman" w:eastAsia="宋体" w:hAnsi="Times New Roman" w:cs="Times New Roman"/>
          <w:sz w:val="24"/>
          <w:szCs w:val="24"/>
        </w:rPr>
        <w:t>与氯</w:t>
      </w:r>
      <w:proofErr w:type="gramStart"/>
      <w:r w:rsidRPr="00890F61">
        <w:rPr>
          <w:rFonts w:ascii="Times New Roman" w:eastAsia="宋体" w:hAnsi="Times New Roman" w:cs="Times New Roman"/>
          <w:sz w:val="24"/>
          <w:szCs w:val="24"/>
        </w:rPr>
        <w:t>吡格雷联用</w:t>
      </w:r>
      <w:proofErr w:type="gramEnd"/>
      <w:r w:rsidRPr="00890F61">
        <w:rPr>
          <w:rFonts w:ascii="Times New Roman" w:eastAsia="宋体" w:hAnsi="Times New Roman" w:cs="Times New Roman"/>
          <w:sz w:val="24"/>
          <w:szCs w:val="24"/>
        </w:rPr>
        <w:t>的相互作用存在争议，确需与氯</w:t>
      </w:r>
      <w:proofErr w:type="gramStart"/>
      <w:r w:rsidRPr="00890F61">
        <w:rPr>
          <w:rFonts w:ascii="Times New Roman" w:eastAsia="宋体" w:hAnsi="Times New Roman" w:cs="Times New Roman"/>
          <w:sz w:val="24"/>
          <w:szCs w:val="24"/>
        </w:rPr>
        <w:t>吡格雷联用</w:t>
      </w:r>
      <w:proofErr w:type="gramEnd"/>
      <w:r w:rsidRPr="00890F61">
        <w:rPr>
          <w:rFonts w:ascii="Times New Roman" w:eastAsia="宋体" w:hAnsi="Times New Roman" w:cs="Times New Roman"/>
          <w:sz w:val="24"/>
          <w:szCs w:val="24"/>
        </w:rPr>
        <w:t>时，建议使用争议较小的</w:t>
      </w:r>
      <w:r w:rsidRPr="00890F61">
        <w:rPr>
          <w:rFonts w:ascii="Times New Roman" w:eastAsia="宋体" w:hAnsi="Times New Roman" w:cs="Times New Roman"/>
          <w:sz w:val="24"/>
          <w:szCs w:val="24"/>
        </w:rPr>
        <w:t>PPI</w:t>
      </w:r>
      <w:r w:rsidRPr="00890F61">
        <w:rPr>
          <w:rFonts w:ascii="Times New Roman" w:eastAsia="宋体" w:hAnsi="Times New Roman" w:cs="Times New Roman"/>
          <w:sz w:val="24"/>
          <w:szCs w:val="24"/>
          <w:vertAlign w:val="superscript"/>
        </w:rPr>
        <w:t>[38]</w:t>
      </w:r>
      <w:r w:rsidRPr="00890F61">
        <w:rPr>
          <w:rFonts w:ascii="Times New Roman" w:eastAsia="宋体" w:hAnsi="Times New Roman" w:cs="Times New Roman"/>
          <w:sz w:val="24"/>
          <w:szCs w:val="24"/>
        </w:rPr>
        <w:t>。</w:t>
      </w:r>
    </w:p>
    <w:p w:rsidR="007530BA" w:rsidRPr="00890F61" w:rsidRDefault="007530BA" w:rsidP="007530BA">
      <w:pPr>
        <w:spacing w:after="0" w:line="276" w:lineRule="auto"/>
        <w:ind w:firstLineChars="200" w:firstLine="480"/>
        <w:rPr>
          <w:rFonts w:ascii="Times New Roman" w:eastAsia="宋体" w:hAnsi="Times New Roman" w:cs="Times New Roman"/>
          <w:color w:val="0070C0"/>
          <w:sz w:val="24"/>
          <w:szCs w:val="24"/>
        </w:rPr>
      </w:pPr>
    </w:p>
    <w:p w:rsidR="007A5BD9" w:rsidRPr="007530BA" w:rsidRDefault="007530BA" w:rsidP="00890F61">
      <w:pPr>
        <w:spacing w:after="0"/>
        <w:rPr>
          <w:rFonts w:ascii="Times New Roman" w:eastAsia="微软雅黑" w:hAnsi="Times New Roman" w:cs="Times New Roman"/>
          <w:b/>
          <w:sz w:val="24"/>
          <w:szCs w:val="24"/>
        </w:rPr>
      </w:pPr>
      <w:r w:rsidRPr="007530BA">
        <w:rPr>
          <w:rFonts w:ascii="黑体" w:eastAsia="黑体" w:hAnsi="黑体" w:cs="Times New Roman"/>
          <w:sz w:val="24"/>
          <w:szCs w:val="24"/>
        </w:rPr>
        <w:t>4.3</w:t>
      </w:r>
      <w:r>
        <w:rPr>
          <w:rFonts w:ascii="黑体" w:eastAsia="黑体" w:hAnsi="黑体" w:cs="Times New Roman" w:hint="eastAsia"/>
          <w:sz w:val="24"/>
          <w:szCs w:val="24"/>
        </w:rPr>
        <w:t xml:space="preserve">  </w:t>
      </w:r>
      <w:r w:rsidR="006F57AF" w:rsidRPr="007530BA">
        <w:rPr>
          <w:rFonts w:ascii="Times New Roman" w:eastAsia="仿宋" w:hAnsi="Times New Roman" w:cs="Times New Roman"/>
          <w:sz w:val="24"/>
          <w:szCs w:val="24"/>
        </w:rPr>
        <w:t>PPI</w:t>
      </w:r>
      <w:r w:rsidR="006F57AF" w:rsidRPr="007530BA">
        <w:rPr>
          <w:rFonts w:ascii="Times New Roman" w:eastAsia="仿宋" w:hAnsi="Times New Roman" w:cs="Times New Roman"/>
          <w:sz w:val="24"/>
          <w:szCs w:val="24"/>
        </w:rPr>
        <w:t>的稳定性</w:t>
      </w:r>
    </w:p>
    <w:p w:rsidR="007A5BD9" w:rsidRPr="00B801E9" w:rsidRDefault="006F57AF" w:rsidP="00B801E9">
      <w:pPr>
        <w:spacing w:after="0" w:line="276" w:lineRule="auto"/>
        <w:ind w:firstLineChars="200" w:firstLine="480"/>
        <w:jc w:val="both"/>
        <w:rPr>
          <w:rFonts w:ascii="Times New Roman" w:eastAsia="宋体" w:hAnsi="Times New Roman" w:cs="Times New Roman"/>
          <w:sz w:val="24"/>
          <w:szCs w:val="24"/>
        </w:rPr>
      </w:pPr>
      <w:r w:rsidRPr="00B801E9">
        <w:rPr>
          <w:rFonts w:ascii="Times New Roman" w:eastAsia="宋体" w:hAnsi="Times New Roman" w:cs="Times New Roman"/>
          <w:sz w:val="24"/>
          <w:szCs w:val="24"/>
        </w:rPr>
        <w:t>质子泵抑制剂水溶液不稳定，在酸性溶液中可快速分解而出现聚合、变色，故要避免与酸性药物同用。静脉滴注适宜选用</w:t>
      </w:r>
      <w:r w:rsidRPr="00B801E9">
        <w:rPr>
          <w:rFonts w:ascii="Times New Roman" w:eastAsia="宋体" w:hAnsi="Times New Roman" w:cs="Times New Roman"/>
          <w:sz w:val="24"/>
          <w:szCs w:val="24"/>
        </w:rPr>
        <w:t>0.9</w:t>
      </w:r>
      <w:r w:rsidR="00B801E9">
        <w:rPr>
          <w:rFonts w:ascii="Times New Roman" w:eastAsia="宋体" w:hAnsi="Times New Roman" w:cs="Times New Roman" w:hint="eastAsia"/>
          <w:sz w:val="24"/>
          <w:szCs w:val="24"/>
        </w:rPr>
        <w:t>%</w:t>
      </w:r>
      <w:r w:rsidRPr="00B801E9">
        <w:rPr>
          <w:rFonts w:ascii="Times New Roman" w:eastAsia="宋体" w:hAnsi="Times New Roman" w:cs="Times New Roman"/>
          <w:sz w:val="24"/>
          <w:szCs w:val="24"/>
        </w:rPr>
        <w:t>氯化钠注射液，避免使用</w:t>
      </w:r>
      <w:r w:rsidRPr="00B801E9">
        <w:rPr>
          <w:rFonts w:ascii="Times New Roman" w:eastAsia="宋体" w:hAnsi="Times New Roman" w:cs="Times New Roman"/>
          <w:sz w:val="24"/>
          <w:szCs w:val="24"/>
        </w:rPr>
        <w:t>5%</w:t>
      </w:r>
      <w:r w:rsidRPr="00B801E9">
        <w:rPr>
          <w:rFonts w:ascii="Times New Roman" w:eastAsia="宋体" w:hAnsi="Times New Roman" w:cs="Times New Roman"/>
          <w:sz w:val="24"/>
          <w:szCs w:val="24"/>
        </w:rPr>
        <w:t>葡萄糖</w:t>
      </w:r>
      <w:proofErr w:type="gramStart"/>
      <w:r w:rsidRPr="00B801E9">
        <w:rPr>
          <w:rFonts w:ascii="Times New Roman" w:eastAsia="宋体" w:hAnsi="Times New Roman" w:cs="Times New Roman"/>
          <w:sz w:val="24"/>
          <w:szCs w:val="24"/>
        </w:rPr>
        <w:t>注射液等偏酸性</w:t>
      </w:r>
      <w:proofErr w:type="gramEnd"/>
      <w:r w:rsidRPr="00B801E9">
        <w:rPr>
          <w:rFonts w:ascii="Times New Roman" w:eastAsia="宋体" w:hAnsi="Times New Roman" w:cs="Times New Roman"/>
          <w:sz w:val="24"/>
          <w:szCs w:val="24"/>
        </w:rPr>
        <w:t>溶媒。</w:t>
      </w:r>
      <w:r w:rsidRPr="00B801E9">
        <w:rPr>
          <w:rFonts w:ascii="Times New Roman" w:eastAsia="宋体" w:hAnsi="Times New Roman" w:cs="Times New Roman"/>
          <w:sz w:val="24"/>
          <w:szCs w:val="24"/>
        </w:rPr>
        <w:t>PPI</w:t>
      </w:r>
      <w:r w:rsidRPr="00B801E9">
        <w:rPr>
          <w:rFonts w:ascii="Times New Roman" w:eastAsia="宋体" w:hAnsi="Times New Roman" w:cs="Times New Roman"/>
          <w:sz w:val="24"/>
          <w:szCs w:val="24"/>
        </w:rPr>
        <w:t>对</w:t>
      </w:r>
      <w:r w:rsidR="00B801E9">
        <w:rPr>
          <w:rFonts w:ascii="Times New Roman" w:eastAsia="宋体" w:hAnsi="Times New Roman" w:cs="Times New Roman" w:hint="eastAsia"/>
          <w:sz w:val="24"/>
          <w:szCs w:val="24"/>
        </w:rPr>
        <w:t>p</w:t>
      </w:r>
      <w:r w:rsidRPr="00B801E9">
        <w:rPr>
          <w:rFonts w:ascii="Times New Roman" w:eastAsia="宋体" w:hAnsi="Times New Roman" w:cs="Times New Roman"/>
          <w:sz w:val="24"/>
          <w:szCs w:val="24"/>
        </w:rPr>
        <w:t>H</w:t>
      </w:r>
      <w:r w:rsidRPr="00B801E9">
        <w:rPr>
          <w:rFonts w:ascii="Times New Roman" w:eastAsia="宋体" w:hAnsi="Times New Roman" w:cs="Times New Roman"/>
          <w:sz w:val="24"/>
          <w:szCs w:val="24"/>
        </w:rPr>
        <w:t>值的依赖性很强，因此药品必须按照说明书指导应用。禁止与其他溶剂或药物溶解和稀释，配置的溶液不能与其他药物混合或在同一注射器中合用。</w:t>
      </w:r>
    </w:p>
    <w:p w:rsidR="007A5BD9" w:rsidRPr="00B801E9" w:rsidRDefault="006F57AF" w:rsidP="00B801E9">
      <w:pPr>
        <w:spacing w:after="0" w:line="276" w:lineRule="auto"/>
        <w:ind w:firstLineChars="200" w:firstLine="480"/>
        <w:jc w:val="both"/>
        <w:rPr>
          <w:rFonts w:ascii="Times New Roman" w:eastAsia="宋体" w:hAnsi="Times New Roman" w:cs="Times New Roman"/>
          <w:sz w:val="24"/>
          <w:szCs w:val="24"/>
        </w:rPr>
      </w:pPr>
      <w:r w:rsidRPr="00B801E9">
        <w:rPr>
          <w:rFonts w:ascii="Times New Roman" w:eastAsia="宋体" w:hAnsi="Times New Roman" w:cs="Times New Roman"/>
          <w:sz w:val="24"/>
          <w:szCs w:val="24"/>
        </w:rPr>
        <w:lastRenderedPageBreak/>
        <w:t>口服制剂一般为肠溶制剂，服用时应以整片</w:t>
      </w:r>
      <w:r w:rsidRPr="00B801E9">
        <w:rPr>
          <w:rFonts w:ascii="Times New Roman" w:eastAsia="宋体" w:hAnsi="Times New Roman" w:cs="Times New Roman"/>
          <w:sz w:val="24"/>
          <w:szCs w:val="24"/>
        </w:rPr>
        <w:t>(</w:t>
      </w:r>
      <w:r w:rsidRPr="00B801E9">
        <w:rPr>
          <w:rFonts w:ascii="Times New Roman" w:eastAsia="宋体" w:hAnsi="Times New Roman" w:cs="Times New Roman"/>
          <w:sz w:val="24"/>
          <w:szCs w:val="24"/>
        </w:rPr>
        <w:t>粒</w:t>
      </w:r>
      <w:r w:rsidRPr="00B801E9">
        <w:rPr>
          <w:rFonts w:ascii="Times New Roman" w:eastAsia="宋体" w:hAnsi="Times New Roman" w:cs="Times New Roman"/>
          <w:sz w:val="24"/>
          <w:szCs w:val="24"/>
        </w:rPr>
        <w:t>)</w:t>
      </w:r>
      <w:r w:rsidRPr="00B801E9">
        <w:rPr>
          <w:rFonts w:ascii="Times New Roman" w:eastAsia="宋体" w:hAnsi="Times New Roman" w:cs="Times New Roman"/>
          <w:sz w:val="24"/>
          <w:szCs w:val="24"/>
        </w:rPr>
        <w:t>吞服，不得咀嚼、压碎和溶解。原</w:t>
      </w:r>
      <w:proofErr w:type="gramStart"/>
      <w:r w:rsidRPr="00B801E9">
        <w:rPr>
          <w:rFonts w:ascii="Times New Roman" w:eastAsia="宋体" w:hAnsi="Times New Roman" w:cs="Times New Roman"/>
          <w:sz w:val="24"/>
          <w:szCs w:val="24"/>
        </w:rPr>
        <w:t>研</w:t>
      </w:r>
      <w:proofErr w:type="gramEnd"/>
      <w:r w:rsidRPr="00B801E9">
        <w:rPr>
          <w:rFonts w:ascii="Times New Roman" w:eastAsia="宋体" w:hAnsi="Times New Roman" w:cs="Times New Roman"/>
          <w:sz w:val="24"/>
          <w:szCs w:val="24"/>
        </w:rPr>
        <w:t>的奥美拉</w:t>
      </w:r>
      <w:proofErr w:type="gramStart"/>
      <w:r w:rsidRPr="00B801E9">
        <w:rPr>
          <w:rFonts w:ascii="Times New Roman" w:eastAsia="宋体" w:hAnsi="Times New Roman" w:cs="Times New Roman"/>
          <w:sz w:val="24"/>
          <w:szCs w:val="24"/>
        </w:rPr>
        <w:t>唑</w:t>
      </w:r>
      <w:proofErr w:type="gramEnd"/>
      <w:r w:rsidRPr="00B801E9">
        <w:rPr>
          <w:rFonts w:ascii="Times New Roman" w:eastAsia="宋体" w:hAnsi="Times New Roman" w:cs="Times New Roman"/>
          <w:sz w:val="24"/>
          <w:szCs w:val="24"/>
        </w:rPr>
        <w:t>和艾司奥美拉</w:t>
      </w:r>
      <w:proofErr w:type="gramStart"/>
      <w:r w:rsidRPr="00B801E9">
        <w:rPr>
          <w:rFonts w:ascii="Times New Roman" w:eastAsia="宋体" w:hAnsi="Times New Roman" w:cs="Times New Roman"/>
          <w:sz w:val="24"/>
          <w:szCs w:val="24"/>
        </w:rPr>
        <w:t>唑</w:t>
      </w:r>
      <w:proofErr w:type="gramEnd"/>
      <w:r w:rsidRPr="00B801E9">
        <w:rPr>
          <w:rFonts w:ascii="Times New Roman" w:eastAsia="宋体" w:hAnsi="Times New Roman" w:cs="Times New Roman"/>
          <w:sz w:val="24"/>
          <w:szCs w:val="24"/>
        </w:rPr>
        <w:t>拥有</w:t>
      </w:r>
      <w:r w:rsidRPr="00B801E9">
        <w:rPr>
          <w:rFonts w:ascii="Times New Roman" w:eastAsia="宋体" w:hAnsi="Times New Roman" w:cs="Times New Roman"/>
          <w:sz w:val="24"/>
          <w:szCs w:val="24"/>
        </w:rPr>
        <w:t>MUPS</w:t>
      </w:r>
      <w:r w:rsidRPr="00B801E9">
        <w:rPr>
          <w:rFonts w:ascii="Times New Roman" w:eastAsia="宋体" w:hAnsi="Times New Roman" w:cs="Times New Roman"/>
          <w:sz w:val="24"/>
          <w:szCs w:val="24"/>
        </w:rPr>
        <w:t>剂型（多单位微囊系统），鼻饲</w:t>
      </w:r>
      <w:proofErr w:type="gramStart"/>
      <w:r w:rsidRPr="00B801E9">
        <w:rPr>
          <w:rFonts w:ascii="Times New Roman" w:eastAsia="宋体" w:hAnsi="Times New Roman" w:cs="Times New Roman"/>
          <w:sz w:val="24"/>
          <w:szCs w:val="24"/>
        </w:rPr>
        <w:t>管患者</w:t>
      </w:r>
      <w:proofErr w:type="gramEnd"/>
      <w:r w:rsidRPr="00B801E9">
        <w:rPr>
          <w:rFonts w:ascii="Times New Roman" w:eastAsia="宋体" w:hAnsi="Times New Roman" w:cs="Times New Roman"/>
          <w:sz w:val="24"/>
          <w:szCs w:val="24"/>
        </w:rPr>
        <w:t>可以将药品溶于水后经鼻饲管注入。</w:t>
      </w:r>
    </w:p>
    <w:p w:rsidR="00EB47B1" w:rsidRPr="00EB47B1" w:rsidRDefault="006F57AF" w:rsidP="00EB47B1">
      <w:pPr>
        <w:spacing w:line="276" w:lineRule="auto"/>
        <w:ind w:firstLineChars="200" w:firstLine="480"/>
        <w:jc w:val="both"/>
        <w:rPr>
          <w:rFonts w:ascii="Times New Roman" w:eastAsia="宋体" w:hAnsi="Times New Roman" w:cs="Times New Roman"/>
          <w:sz w:val="10"/>
          <w:szCs w:val="24"/>
        </w:rPr>
      </w:pPr>
      <w:r w:rsidRPr="00B801E9">
        <w:rPr>
          <w:rFonts w:ascii="Times New Roman" w:eastAsia="宋体" w:hAnsi="Times New Roman" w:cs="Times New Roman"/>
          <w:sz w:val="24"/>
          <w:szCs w:val="24"/>
        </w:rPr>
        <w:t>常见</w:t>
      </w:r>
      <w:r w:rsidRPr="00B801E9">
        <w:rPr>
          <w:rFonts w:ascii="Times New Roman" w:eastAsia="宋体" w:hAnsi="Times New Roman" w:cs="Times New Roman"/>
          <w:sz w:val="24"/>
          <w:szCs w:val="24"/>
        </w:rPr>
        <w:t>PPI</w:t>
      </w:r>
      <w:r w:rsidRPr="00B801E9">
        <w:rPr>
          <w:rFonts w:ascii="Times New Roman" w:eastAsia="宋体" w:hAnsi="Times New Roman" w:cs="Times New Roman"/>
          <w:sz w:val="24"/>
          <w:szCs w:val="24"/>
        </w:rPr>
        <w:t>注射剂型的配置方法略有差异</w:t>
      </w:r>
      <w:r w:rsidR="000158BC">
        <w:rPr>
          <w:rFonts w:ascii="Times New Roman" w:eastAsia="宋体" w:hAnsi="Times New Roman" w:cs="Times New Roman" w:hint="eastAsia"/>
          <w:sz w:val="24"/>
          <w:szCs w:val="24"/>
        </w:rPr>
        <w:t>（表</w:t>
      </w:r>
      <w:r w:rsidR="000158BC">
        <w:rPr>
          <w:rFonts w:ascii="Times New Roman" w:eastAsia="宋体" w:hAnsi="Times New Roman" w:cs="Times New Roman" w:hint="eastAsia"/>
          <w:sz w:val="24"/>
          <w:szCs w:val="24"/>
        </w:rPr>
        <w:t>7</w:t>
      </w:r>
      <w:r w:rsidR="000158BC">
        <w:rPr>
          <w:rFonts w:ascii="Times New Roman" w:eastAsia="宋体" w:hAnsi="Times New Roman" w:cs="Times New Roman" w:hint="eastAsia"/>
          <w:sz w:val="24"/>
          <w:szCs w:val="24"/>
        </w:rPr>
        <w:t>），</w:t>
      </w:r>
      <w:r w:rsidRPr="00B801E9">
        <w:rPr>
          <w:rFonts w:ascii="Times New Roman" w:eastAsia="宋体" w:hAnsi="Times New Roman" w:cs="Times New Roman"/>
          <w:sz w:val="24"/>
          <w:szCs w:val="24"/>
        </w:rPr>
        <w:t>奥美拉</w:t>
      </w:r>
      <w:proofErr w:type="gramStart"/>
      <w:r w:rsidRPr="00B801E9">
        <w:rPr>
          <w:rFonts w:ascii="Times New Roman" w:eastAsia="宋体" w:hAnsi="Times New Roman" w:cs="Times New Roman"/>
          <w:sz w:val="24"/>
          <w:szCs w:val="24"/>
        </w:rPr>
        <w:t>唑</w:t>
      </w:r>
      <w:proofErr w:type="gramEnd"/>
      <w:r w:rsidRPr="00B801E9">
        <w:rPr>
          <w:rFonts w:ascii="Times New Roman" w:eastAsia="宋体" w:hAnsi="Times New Roman" w:cs="Times New Roman"/>
          <w:sz w:val="24"/>
          <w:szCs w:val="24"/>
        </w:rPr>
        <w:t>、艾司奥美拉</w:t>
      </w:r>
      <w:proofErr w:type="gramStart"/>
      <w:r w:rsidRPr="00B801E9">
        <w:rPr>
          <w:rFonts w:ascii="Times New Roman" w:eastAsia="宋体" w:hAnsi="Times New Roman" w:cs="Times New Roman"/>
          <w:sz w:val="24"/>
          <w:szCs w:val="24"/>
        </w:rPr>
        <w:t>唑</w:t>
      </w:r>
      <w:proofErr w:type="gramEnd"/>
      <w:r w:rsidRPr="00B801E9">
        <w:rPr>
          <w:rFonts w:ascii="Times New Roman" w:eastAsia="宋体" w:hAnsi="Times New Roman" w:cs="Times New Roman"/>
          <w:sz w:val="24"/>
          <w:szCs w:val="24"/>
        </w:rPr>
        <w:t>和</w:t>
      </w:r>
      <w:proofErr w:type="gramStart"/>
      <w:r w:rsidRPr="00B801E9">
        <w:rPr>
          <w:rFonts w:ascii="Times New Roman" w:eastAsia="宋体" w:hAnsi="Times New Roman" w:cs="Times New Roman"/>
          <w:sz w:val="24"/>
          <w:szCs w:val="24"/>
        </w:rPr>
        <w:t>泮</w:t>
      </w:r>
      <w:proofErr w:type="gramEnd"/>
      <w:r w:rsidRPr="00B801E9">
        <w:rPr>
          <w:rFonts w:ascii="Times New Roman" w:eastAsia="宋体" w:hAnsi="Times New Roman" w:cs="Times New Roman"/>
          <w:sz w:val="24"/>
          <w:szCs w:val="24"/>
        </w:rPr>
        <w:t>托拉</w:t>
      </w:r>
      <w:proofErr w:type="gramStart"/>
      <w:r w:rsidRPr="00B801E9">
        <w:rPr>
          <w:rFonts w:ascii="Times New Roman" w:eastAsia="宋体" w:hAnsi="Times New Roman" w:cs="Times New Roman"/>
          <w:sz w:val="24"/>
          <w:szCs w:val="24"/>
        </w:rPr>
        <w:t>唑</w:t>
      </w:r>
      <w:proofErr w:type="gramEnd"/>
      <w:r w:rsidRPr="00B801E9">
        <w:rPr>
          <w:rFonts w:ascii="Times New Roman" w:eastAsia="宋体" w:hAnsi="Times New Roman" w:cs="Times New Roman"/>
          <w:sz w:val="24"/>
          <w:szCs w:val="24"/>
        </w:rPr>
        <w:t>既可静脉注射也可用于静脉滴注。其中奥美拉</w:t>
      </w:r>
      <w:proofErr w:type="gramStart"/>
      <w:r w:rsidRPr="00B801E9">
        <w:rPr>
          <w:rFonts w:ascii="Times New Roman" w:eastAsia="宋体" w:hAnsi="Times New Roman" w:cs="Times New Roman"/>
          <w:sz w:val="24"/>
          <w:szCs w:val="24"/>
        </w:rPr>
        <w:t>唑</w:t>
      </w:r>
      <w:proofErr w:type="gramEnd"/>
      <w:r w:rsidRPr="00B801E9">
        <w:rPr>
          <w:rFonts w:ascii="Times New Roman" w:eastAsia="宋体" w:hAnsi="Times New Roman" w:cs="Times New Roman"/>
          <w:sz w:val="24"/>
          <w:szCs w:val="24"/>
        </w:rPr>
        <w:t>冻干制剂存在静脉滴注和静脉推注两种配方，前者为避免与大量氯化钠注射液或葡萄糖注射液稀释时发生氧化变质而加入了</w:t>
      </w:r>
      <w:r w:rsidRPr="00B801E9">
        <w:rPr>
          <w:rFonts w:ascii="Times New Roman" w:eastAsia="宋体" w:hAnsi="Times New Roman" w:cs="Times New Roman"/>
          <w:sz w:val="24"/>
          <w:szCs w:val="24"/>
        </w:rPr>
        <w:t>EDTA(1.5</w:t>
      </w:r>
      <w:r w:rsidR="00B801E9">
        <w:rPr>
          <w:rFonts w:ascii="Times New Roman" w:eastAsia="宋体" w:hAnsi="Times New Roman" w:cs="Times New Roman" w:hint="eastAsia"/>
          <w:sz w:val="24"/>
          <w:szCs w:val="24"/>
        </w:rPr>
        <w:t xml:space="preserve"> </w:t>
      </w:r>
      <w:r w:rsidRPr="00B801E9">
        <w:rPr>
          <w:rFonts w:ascii="Times New Roman" w:eastAsia="宋体" w:hAnsi="Times New Roman" w:cs="Times New Roman"/>
          <w:sz w:val="24"/>
          <w:szCs w:val="24"/>
        </w:rPr>
        <w:t>mg/</w:t>
      </w:r>
      <w:r w:rsidRPr="00B801E9">
        <w:rPr>
          <w:rFonts w:ascii="Times New Roman" w:eastAsia="宋体" w:hAnsi="Times New Roman" w:cs="Times New Roman"/>
          <w:sz w:val="24"/>
          <w:szCs w:val="24"/>
        </w:rPr>
        <w:t>支</w:t>
      </w:r>
      <w:r w:rsidRPr="00B801E9">
        <w:rPr>
          <w:rFonts w:ascii="Times New Roman" w:eastAsia="宋体" w:hAnsi="Times New Roman" w:cs="Times New Roman"/>
          <w:sz w:val="24"/>
          <w:szCs w:val="24"/>
        </w:rPr>
        <w:t>)</w:t>
      </w:r>
      <w:r w:rsidRPr="00B801E9">
        <w:rPr>
          <w:rFonts w:ascii="Times New Roman" w:eastAsia="宋体" w:hAnsi="Times New Roman" w:cs="Times New Roman"/>
          <w:sz w:val="24"/>
          <w:szCs w:val="24"/>
        </w:rPr>
        <w:t>；而供静脉推注用的制剂因稀释剂用量小，推注时间短而不必加入</w:t>
      </w:r>
      <w:r w:rsidRPr="00B801E9">
        <w:rPr>
          <w:rFonts w:ascii="Times New Roman" w:eastAsia="宋体" w:hAnsi="Times New Roman" w:cs="Times New Roman"/>
          <w:sz w:val="24"/>
          <w:szCs w:val="24"/>
        </w:rPr>
        <w:t>EDTA</w:t>
      </w:r>
      <w:r w:rsidRPr="00B801E9">
        <w:rPr>
          <w:rFonts w:ascii="Times New Roman" w:eastAsia="宋体" w:hAnsi="Times New Roman" w:cs="Times New Roman"/>
          <w:sz w:val="24"/>
          <w:szCs w:val="24"/>
        </w:rPr>
        <w:t>，但配有助溶剂聚乙二醇</w:t>
      </w:r>
      <w:r w:rsidRPr="00B801E9">
        <w:rPr>
          <w:rFonts w:ascii="Times New Roman" w:eastAsia="宋体" w:hAnsi="Times New Roman" w:cs="Times New Roman"/>
          <w:sz w:val="24"/>
          <w:szCs w:val="24"/>
        </w:rPr>
        <w:t>400</w:t>
      </w:r>
      <w:r w:rsidRPr="00B801E9">
        <w:rPr>
          <w:rFonts w:ascii="Times New Roman" w:eastAsia="宋体" w:hAnsi="Times New Roman" w:cs="Times New Roman"/>
          <w:sz w:val="24"/>
          <w:szCs w:val="24"/>
        </w:rPr>
        <w:t>和</w:t>
      </w:r>
      <w:r w:rsidR="00B801E9" w:rsidRPr="0038411F">
        <w:rPr>
          <w:rFonts w:ascii="Times New Roman" w:eastAsia="宋体" w:hAnsi="Times New Roman" w:cs="Times New Roman"/>
          <w:sz w:val="24"/>
          <w:szCs w:val="24"/>
        </w:rPr>
        <w:t>pH</w:t>
      </w:r>
      <w:r w:rsidRPr="00B801E9">
        <w:rPr>
          <w:rFonts w:ascii="Times New Roman" w:eastAsia="宋体" w:hAnsi="Times New Roman" w:cs="Times New Roman"/>
          <w:sz w:val="24"/>
          <w:szCs w:val="24"/>
        </w:rPr>
        <w:t>调节剂枸橼酸的专用溶剂。临床使用中不可互相混用。</w:t>
      </w:r>
    </w:p>
    <w:p w:rsidR="00B801E9" w:rsidRPr="0038411F" w:rsidRDefault="00B801E9" w:rsidP="00B801E9">
      <w:pPr>
        <w:rPr>
          <w:rFonts w:ascii="Times New Roman" w:eastAsia="黑体" w:hAnsi="Times New Roman" w:cs="Times New Roman"/>
          <w:sz w:val="24"/>
          <w:szCs w:val="24"/>
        </w:rPr>
      </w:pPr>
      <w:r w:rsidRPr="0038411F">
        <w:rPr>
          <w:rFonts w:ascii="Times New Roman" w:eastAsia="黑体" w:hAnsi="Times New Roman" w:cs="Times New Roman" w:hint="eastAsia"/>
          <w:sz w:val="24"/>
          <w:szCs w:val="24"/>
        </w:rPr>
        <w:t>表</w:t>
      </w:r>
      <w:r w:rsidRPr="0038411F">
        <w:rPr>
          <w:rFonts w:ascii="Times New Roman" w:eastAsia="黑体" w:hAnsi="Times New Roman" w:cs="Times New Roman"/>
          <w:sz w:val="24"/>
          <w:szCs w:val="24"/>
        </w:rPr>
        <w:t>7</w:t>
      </w:r>
      <w:r w:rsidR="00890F61">
        <w:rPr>
          <w:rFonts w:ascii="Times New Roman" w:eastAsia="黑体" w:hAnsi="Times New Roman" w:cs="Times New Roman" w:hint="eastAsia"/>
          <w:sz w:val="24"/>
          <w:szCs w:val="24"/>
        </w:rPr>
        <w:t xml:space="preserve">   </w:t>
      </w:r>
      <w:r w:rsidRPr="0038411F">
        <w:rPr>
          <w:rFonts w:ascii="Times New Roman" w:eastAsia="黑体" w:hAnsi="Times New Roman" w:cs="Times New Roman" w:hint="eastAsia"/>
          <w:sz w:val="24"/>
          <w:szCs w:val="24"/>
        </w:rPr>
        <w:t>常见</w:t>
      </w:r>
      <w:r w:rsidRPr="0038411F">
        <w:rPr>
          <w:rFonts w:ascii="Times New Roman" w:eastAsia="黑体" w:hAnsi="Times New Roman" w:cs="Times New Roman"/>
          <w:sz w:val="24"/>
          <w:szCs w:val="24"/>
        </w:rPr>
        <w:t>PPI</w:t>
      </w:r>
      <w:r w:rsidRPr="0038411F">
        <w:rPr>
          <w:rFonts w:ascii="Times New Roman" w:eastAsia="黑体" w:hAnsi="Times New Roman" w:cs="Times New Roman"/>
          <w:sz w:val="24"/>
          <w:szCs w:val="24"/>
        </w:rPr>
        <w:t>注射剂型使用方法</w:t>
      </w:r>
    </w:p>
    <w:tbl>
      <w:tblPr>
        <w:tblW w:w="9336"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845"/>
        <w:gridCol w:w="2977"/>
        <w:gridCol w:w="3522"/>
        <w:gridCol w:w="992"/>
      </w:tblGrid>
      <w:tr w:rsidR="007A5BD9" w:rsidRPr="00B801E9" w:rsidTr="00DE7616">
        <w:trPr>
          <w:trHeight w:val="463"/>
        </w:trPr>
        <w:tc>
          <w:tcPr>
            <w:tcW w:w="1845" w:type="dxa"/>
            <w:vMerge w:val="restart"/>
            <w:tcBorders>
              <w:top w:val="single" w:sz="4" w:space="0" w:color="auto"/>
              <w:bottom w:val="single" w:sz="4" w:space="0" w:color="auto"/>
            </w:tcBorders>
            <w:shd w:val="clear" w:color="auto" w:fill="auto"/>
            <w:tcMar>
              <w:top w:w="72" w:type="dxa"/>
              <w:left w:w="144" w:type="dxa"/>
              <w:bottom w:w="72" w:type="dxa"/>
              <w:right w:w="144" w:type="dxa"/>
            </w:tcMar>
            <w:vAlign w:val="center"/>
          </w:tcPr>
          <w:p w:rsidR="007A5BD9" w:rsidRPr="00B801E9" w:rsidRDefault="006F57AF">
            <w:pPr>
              <w:rPr>
                <w:rFonts w:ascii="宋体" w:eastAsia="宋体" w:hAnsi="宋体" w:cs="宋体"/>
                <w:b/>
                <w:sz w:val="24"/>
                <w:szCs w:val="24"/>
              </w:rPr>
            </w:pPr>
            <w:r w:rsidRPr="00B801E9">
              <w:rPr>
                <w:rFonts w:ascii="宋体" w:eastAsia="宋体" w:hAnsi="宋体" w:cs="宋体" w:hint="eastAsia"/>
                <w:b/>
                <w:sz w:val="24"/>
                <w:szCs w:val="24"/>
              </w:rPr>
              <w:t>种类</w:t>
            </w:r>
          </w:p>
        </w:tc>
        <w:tc>
          <w:tcPr>
            <w:tcW w:w="6499" w:type="dxa"/>
            <w:gridSpan w:val="2"/>
            <w:tcBorders>
              <w:top w:val="single" w:sz="4" w:space="0" w:color="auto"/>
              <w:bottom w:val="single" w:sz="4" w:space="0" w:color="auto"/>
            </w:tcBorders>
            <w:shd w:val="clear" w:color="auto" w:fill="auto"/>
            <w:tcMar>
              <w:top w:w="72" w:type="dxa"/>
              <w:left w:w="144" w:type="dxa"/>
              <w:bottom w:w="72" w:type="dxa"/>
              <w:right w:w="144" w:type="dxa"/>
            </w:tcMar>
            <w:vAlign w:val="center"/>
          </w:tcPr>
          <w:p w:rsidR="007A5BD9" w:rsidRPr="00B801E9" w:rsidRDefault="006F57AF">
            <w:pPr>
              <w:jc w:val="center"/>
              <w:rPr>
                <w:rFonts w:ascii="宋体" w:eastAsia="宋体" w:hAnsi="宋体" w:cs="宋体"/>
                <w:b/>
                <w:sz w:val="24"/>
                <w:szCs w:val="24"/>
              </w:rPr>
            </w:pPr>
            <w:r w:rsidRPr="00B801E9">
              <w:rPr>
                <w:rFonts w:ascii="宋体" w:eastAsia="宋体" w:hAnsi="宋体" w:cs="宋体" w:hint="eastAsia"/>
                <w:b/>
                <w:bCs/>
                <w:sz w:val="24"/>
                <w:szCs w:val="24"/>
              </w:rPr>
              <w:t>配制</w:t>
            </w:r>
          </w:p>
        </w:tc>
        <w:tc>
          <w:tcPr>
            <w:tcW w:w="992" w:type="dxa"/>
            <w:vMerge w:val="restart"/>
            <w:tcBorders>
              <w:top w:val="single" w:sz="4" w:space="0" w:color="auto"/>
              <w:bottom w:val="single" w:sz="4" w:space="0" w:color="auto"/>
            </w:tcBorders>
            <w:shd w:val="clear" w:color="auto" w:fill="auto"/>
            <w:tcMar>
              <w:top w:w="72" w:type="dxa"/>
              <w:left w:w="144" w:type="dxa"/>
              <w:bottom w:w="72" w:type="dxa"/>
              <w:right w:w="144" w:type="dxa"/>
            </w:tcMar>
            <w:vAlign w:val="center"/>
          </w:tcPr>
          <w:p w:rsidR="007A5BD9" w:rsidRPr="00B801E9" w:rsidRDefault="006F57AF">
            <w:pPr>
              <w:rPr>
                <w:rFonts w:ascii="宋体" w:eastAsia="宋体" w:hAnsi="宋体" w:cs="宋体"/>
                <w:sz w:val="24"/>
                <w:szCs w:val="24"/>
              </w:rPr>
            </w:pPr>
            <w:r w:rsidRPr="00B801E9">
              <w:rPr>
                <w:rFonts w:ascii="宋体" w:eastAsia="宋体" w:hAnsi="宋体" w:cs="宋体" w:hint="eastAsia"/>
                <w:b/>
                <w:bCs/>
                <w:sz w:val="24"/>
                <w:szCs w:val="24"/>
              </w:rPr>
              <w:t>是否需要滤器</w:t>
            </w:r>
          </w:p>
        </w:tc>
      </w:tr>
      <w:tr w:rsidR="007A5BD9" w:rsidRPr="00B801E9" w:rsidTr="00DE7616">
        <w:trPr>
          <w:trHeight w:val="504"/>
        </w:trPr>
        <w:tc>
          <w:tcPr>
            <w:tcW w:w="1845" w:type="dxa"/>
            <w:vMerge/>
            <w:tcBorders>
              <w:top w:val="single" w:sz="4" w:space="0" w:color="auto"/>
              <w:bottom w:val="single" w:sz="4" w:space="0" w:color="auto"/>
            </w:tcBorders>
            <w:shd w:val="clear" w:color="auto" w:fill="auto"/>
            <w:tcMar>
              <w:top w:w="72" w:type="dxa"/>
              <w:left w:w="144" w:type="dxa"/>
              <w:bottom w:w="72" w:type="dxa"/>
              <w:right w:w="144" w:type="dxa"/>
            </w:tcMar>
            <w:vAlign w:val="center"/>
          </w:tcPr>
          <w:p w:rsidR="007A5BD9" w:rsidRPr="00B801E9" w:rsidRDefault="007A5BD9">
            <w:pPr>
              <w:rPr>
                <w:rFonts w:ascii="宋体" w:eastAsia="宋体" w:hAnsi="宋体" w:cs="宋体"/>
                <w:b/>
                <w:sz w:val="24"/>
                <w:szCs w:val="24"/>
              </w:rPr>
            </w:pPr>
          </w:p>
        </w:tc>
        <w:tc>
          <w:tcPr>
            <w:tcW w:w="2977" w:type="dxa"/>
            <w:tcBorders>
              <w:top w:val="single" w:sz="4" w:space="0" w:color="auto"/>
              <w:bottom w:val="single" w:sz="4" w:space="0" w:color="auto"/>
            </w:tcBorders>
            <w:shd w:val="clear" w:color="auto" w:fill="auto"/>
            <w:tcMar>
              <w:top w:w="72" w:type="dxa"/>
              <w:left w:w="144" w:type="dxa"/>
              <w:bottom w:w="72" w:type="dxa"/>
              <w:right w:w="144" w:type="dxa"/>
            </w:tcMar>
            <w:vAlign w:val="center"/>
          </w:tcPr>
          <w:p w:rsidR="007A5BD9" w:rsidRPr="00B801E9" w:rsidRDefault="006F57AF">
            <w:pPr>
              <w:rPr>
                <w:rFonts w:ascii="宋体" w:eastAsia="宋体" w:hAnsi="宋体" w:cs="宋体"/>
                <w:b/>
                <w:sz w:val="24"/>
                <w:szCs w:val="24"/>
              </w:rPr>
            </w:pPr>
            <w:r w:rsidRPr="00B801E9">
              <w:rPr>
                <w:rFonts w:ascii="宋体" w:eastAsia="宋体" w:hAnsi="宋体" w:cs="宋体" w:hint="eastAsia"/>
                <w:b/>
                <w:bCs/>
                <w:sz w:val="24"/>
                <w:szCs w:val="24"/>
              </w:rPr>
              <w:t>静脉推注</w:t>
            </w:r>
          </w:p>
        </w:tc>
        <w:tc>
          <w:tcPr>
            <w:tcW w:w="3522" w:type="dxa"/>
            <w:tcBorders>
              <w:top w:val="single" w:sz="4" w:space="0" w:color="auto"/>
              <w:bottom w:val="single" w:sz="4" w:space="0" w:color="auto"/>
            </w:tcBorders>
            <w:shd w:val="clear" w:color="auto" w:fill="auto"/>
            <w:tcMar>
              <w:top w:w="72" w:type="dxa"/>
              <w:left w:w="144" w:type="dxa"/>
              <w:bottom w:w="72" w:type="dxa"/>
              <w:right w:w="144" w:type="dxa"/>
            </w:tcMar>
            <w:vAlign w:val="center"/>
          </w:tcPr>
          <w:p w:rsidR="007A5BD9" w:rsidRPr="00B801E9" w:rsidRDefault="006F57AF">
            <w:pPr>
              <w:rPr>
                <w:rFonts w:ascii="宋体" w:eastAsia="宋体" w:hAnsi="宋体" w:cs="宋体"/>
                <w:b/>
                <w:sz w:val="24"/>
                <w:szCs w:val="24"/>
              </w:rPr>
            </w:pPr>
            <w:r w:rsidRPr="00B801E9">
              <w:rPr>
                <w:rFonts w:ascii="宋体" w:eastAsia="宋体" w:hAnsi="宋体" w:cs="宋体" w:hint="eastAsia"/>
                <w:b/>
                <w:bCs/>
                <w:sz w:val="24"/>
                <w:szCs w:val="24"/>
              </w:rPr>
              <w:t>静脉滴注</w:t>
            </w:r>
          </w:p>
        </w:tc>
        <w:tc>
          <w:tcPr>
            <w:tcW w:w="992" w:type="dxa"/>
            <w:vMerge/>
            <w:tcBorders>
              <w:top w:val="single" w:sz="4" w:space="0" w:color="auto"/>
              <w:bottom w:val="single" w:sz="4" w:space="0" w:color="auto"/>
            </w:tcBorders>
            <w:shd w:val="clear" w:color="auto" w:fill="auto"/>
            <w:vAlign w:val="center"/>
          </w:tcPr>
          <w:p w:rsidR="007A5BD9" w:rsidRPr="00B801E9" w:rsidRDefault="007A5BD9">
            <w:pPr>
              <w:rPr>
                <w:rFonts w:ascii="宋体" w:eastAsia="宋体" w:hAnsi="宋体" w:cs="宋体"/>
                <w:sz w:val="24"/>
                <w:szCs w:val="24"/>
              </w:rPr>
            </w:pPr>
          </w:p>
        </w:tc>
      </w:tr>
      <w:tr w:rsidR="007A5BD9" w:rsidRPr="00B801E9" w:rsidTr="00DE7616">
        <w:trPr>
          <w:trHeight w:val="934"/>
        </w:trPr>
        <w:tc>
          <w:tcPr>
            <w:tcW w:w="1845" w:type="dxa"/>
            <w:tcBorders>
              <w:top w:val="single" w:sz="4" w:space="0" w:color="auto"/>
            </w:tcBorders>
            <w:shd w:val="clear" w:color="auto" w:fill="auto"/>
            <w:tcMar>
              <w:top w:w="72" w:type="dxa"/>
              <w:left w:w="144" w:type="dxa"/>
              <w:bottom w:w="72" w:type="dxa"/>
              <w:right w:w="144" w:type="dxa"/>
            </w:tcMar>
            <w:vAlign w:val="center"/>
          </w:tcPr>
          <w:p w:rsidR="007A5BD9" w:rsidRPr="00B801E9" w:rsidRDefault="006F57AF">
            <w:pPr>
              <w:rPr>
                <w:rFonts w:ascii="Times New Roman" w:eastAsia="宋体" w:hAnsi="Times New Roman" w:cs="Times New Roman"/>
                <w:sz w:val="24"/>
                <w:szCs w:val="24"/>
              </w:rPr>
            </w:pPr>
            <w:r w:rsidRPr="00B801E9">
              <w:rPr>
                <w:rFonts w:ascii="Times New Roman" w:eastAsia="宋体" w:hAnsi="Times New Roman" w:cs="Times New Roman"/>
                <w:sz w:val="24"/>
                <w:szCs w:val="24"/>
              </w:rPr>
              <w:t>奥美拉</w:t>
            </w:r>
            <w:proofErr w:type="gramStart"/>
            <w:r w:rsidRPr="00B801E9">
              <w:rPr>
                <w:rFonts w:ascii="Times New Roman" w:eastAsia="宋体" w:hAnsi="Times New Roman" w:cs="Times New Roman"/>
                <w:sz w:val="24"/>
                <w:szCs w:val="24"/>
              </w:rPr>
              <w:t>唑</w:t>
            </w:r>
            <w:proofErr w:type="gramEnd"/>
          </w:p>
        </w:tc>
        <w:tc>
          <w:tcPr>
            <w:tcW w:w="2977" w:type="dxa"/>
            <w:tcBorders>
              <w:top w:val="single" w:sz="4" w:space="0" w:color="auto"/>
            </w:tcBorders>
            <w:shd w:val="clear" w:color="auto" w:fill="auto"/>
            <w:tcMar>
              <w:top w:w="72" w:type="dxa"/>
              <w:left w:w="144" w:type="dxa"/>
              <w:bottom w:w="72" w:type="dxa"/>
              <w:right w:w="144" w:type="dxa"/>
            </w:tcMar>
            <w:vAlign w:val="center"/>
          </w:tcPr>
          <w:p w:rsidR="007A5BD9" w:rsidRPr="00B801E9" w:rsidRDefault="006F57AF" w:rsidP="00B801E9">
            <w:pPr>
              <w:rPr>
                <w:rFonts w:ascii="Times New Roman" w:eastAsia="宋体" w:hAnsi="Times New Roman" w:cs="Times New Roman"/>
                <w:sz w:val="24"/>
                <w:szCs w:val="24"/>
              </w:rPr>
            </w:pPr>
            <w:r w:rsidRPr="00B801E9">
              <w:rPr>
                <w:rFonts w:ascii="Times New Roman" w:eastAsia="宋体" w:hAnsi="Times New Roman" w:cs="Times New Roman"/>
                <w:sz w:val="24"/>
                <w:szCs w:val="24"/>
              </w:rPr>
              <w:t>溶于</w:t>
            </w:r>
            <w:r w:rsidRPr="00B801E9">
              <w:rPr>
                <w:rFonts w:ascii="Times New Roman" w:eastAsia="宋体" w:hAnsi="Times New Roman" w:cs="Times New Roman"/>
                <w:sz w:val="24"/>
                <w:szCs w:val="24"/>
              </w:rPr>
              <w:t>10</w:t>
            </w:r>
            <w:r w:rsidR="00B801E9" w:rsidRPr="00B801E9">
              <w:rPr>
                <w:rFonts w:ascii="Times New Roman" w:eastAsia="宋体" w:hAnsi="Times New Roman" w:cs="Times New Roman"/>
                <w:sz w:val="24"/>
                <w:szCs w:val="24"/>
              </w:rPr>
              <w:t xml:space="preserve"> </w:t>
            </w:r>
            <w:r w:rsidRPr="00B801E9">
              <w:rPr>
                <w:rFonts w:ascii="Times New Roman" w:eastAsia="宋体" w:hAnsi="Times New Roman" w:cs="Times New Roman"/>
                <w:sz w:val="24"/>
                <w:szCs w:val="24"/>
              </w:rPr>
              <w:t>m</w:t>
            </w:r>
            <w:r w:rsidR="00B801E9" w:rsidRPr="00B801E9">
              <w:rPr>
                <w:rFonts w:ascii="Times New Roman" w:eastAsia="宋体" w:hAnsi="Times New Roman" w:cs="Times New Roman"/>
                <w:sz w:val="24"/>
                <w:szCs w:val="24"/>
              </w:rPr>
              <w:t>L</w:t>
            </w:r>
            <w:r w:rsidRPr="00B801E9">
              <w:rPr>
                <w:rFonts w:ascii="Times New Roman" w:eastAsia="宋体" w:hAnsi="Times New Roman" w:cs="Times New Roman"/>
                <w:sz w:val="24"/>
                <w:szCs w:val="24"/>
              </w:rPr>
              <w:t>专用溶媒</w:t>
            </w:r>
            <w:r w:rsidRPr="00B801E9">
              <w:rPr>
                <w:rFonts w:ascii="Times New Roman" w:eastAsia="宋体" w:hAnsi="Times New Roman" w:cs="Times New Roman"/>
                <w:sz w:val="24"/>
                <w:szCs w:val="24"/>
              </w:rPr>
              <w:t>4</w:t>
            </w:r>
            <w:r w:rsidR="00B801E9" w:rsidRPr="00B801E9">
              <w:rPr>
                <w:rFonts w:ascii="Times New Roman" w:eastAsia="宋体" w:hAnsi="Times New Roman" w:cs="Times New Roman"/>
                <w:sz w:val="24"/>
                <w:szCs w:val="24"/>
              </w:rPr>
              <w:t xml:space="preserve"> h</w:t>
            </w:r>
            <w:r w:rsidRPr="00B801E9">
              <w:rPr>
                <w:rFonts w:ascii="Times New Roman" w:eastAsia="宋体" w:hAnsi="Times New Roman" w:cs="Times New Roman"/>
                <w:sz w:val="24"/>
                <w:szCs w:val="24"/>
              </w:rPr>
              <w:t>内使用</w:t>
            </w:r>
          </w:p>
        </w:tc>
        <w:tc>
          <w:tcPr>
            <w:tcW w:w="3522" w:type="dxa"/>
            <w:tcBorders>
              <w:top w:val="single" w:sz="4" w:space="0" w:color="auto"/>
            </w:tcBorders>
            <w:shd w:val="clear" w:color="auto" w:fill="auto"/>
            <w:tcMar>
              <w:top w:w="72" w:type="dxa"/>
              <w:left w:w="144" w:type="dxa"/>
              <w:bottom w:w="72" w:type="dxa"/>
              <w:right w:w="144" w:type="dxa"/>
            </w:tcMar>
            <w:vAlign w:val="center"/>
          </w:tcPr>
          <w:p w:rsidR="007A5BD9" w:rsidRPr="00B801E9" w:rsidRDefault="006F57AF">
            <w:pPr>
              <w:rPr>
                <w:rFonts w:ascii="Times New Roman" w:eastAsia="宋体" w:hAnsi="Times New Roman" w:cs="Times New Roman"/>
                <w:sz w:val="24"/>
                <w:szCs w:val="24"/>
              </w:rPr>
            </w:pPr>
            <w:r w:rsidRPr="00B801E9">
              <w:rPr>
                <w:rFonts w:ascii="Times New Roman" w:eastAsia="宋体" w:hAnsi="Times New Roman" w:cs="Times New Roman"/>
                <w:sz w:val="24"/>
                <w:szCs w:val="24"/>
              </w:rPr>
              <w:t>溶于</w:t>
            </w:r>
            <w:r w:rsidRPr="00B801E9">
              <w:rPr>
                <w:rFonts w:ascii="Times New Roman" w:eastAsia="宋体" w:hAnsi="Times New Roman" w:cs="Times New Roman"/>
                <w:sz w:val="24"/>
                <w:szCs w:val="24"/>
              </w:rPr>
              <w:t>100</w:t>
            </w:r>
            <w:r w:rsidR="00B801E9" w:rsidRPr="00B801E9">
              <w:rPr>
                <w:rFonts w:ascii="Times New Roman" w:eastAsia="宋体" w:hAnsi="Times New Roman" w:cs="Times New Roman"/>
                <w:sz w:val="24"/>
                <w:szCs w:val="24"/>
              </w:rPr>
              <w:t xml:space="preserve"> </w:t>
            </w:r>
            <w:r w:rsidRPr="00B801E9">
              <w:rPr>
                <w:rFonts w:ascii="Times New Roman" w:eastAsia="宋体" w:hAnsi="Times New Roman" w:cs="Times New Roman"/>
                <w:sz w:val="24"/>
                <w:szCs w:val="24"/>
              </w:rPr>
              <w:t>m</w:t>
            </w:r>
            <w:r w:rsidR="00B801E9" w:rsidRPr="00B801E9">
              <w:rPr>
                <w:rFonts w:ascii="Times New Roman" w:eastAsia="宋体" w:hAnsi="Times New Roman" w:cs="Times New Roman"/>
                <w:sz w:val="24"/>
                <w:szCs w:val="24"/>
              </w:rPr>
              <w:t xml:space="preserve">L </w:t>
            </w:r>
            <w:r w:rsidRPr="00B801E9">
              <w:rPr>
                <w:rFonts w:ascii="Times New Roman" w:eastAsia="宋体" w:hAnsi="Times New Roman" w:cs="Times New Roman"/>
                <w:sz w:val="24"/>
                <w:szCs w:val="24"/>
              </w:rPr>
              <w:t>0.9%</w:t>
            </w:r>
            <w:r w:rsidRPr="00B801E9">
              <w:rPr>
                <w:rFonts w:ascii="Times New Roman" w:eastAsia="宋体" w:hAnsi="Times New Roman" w:cs="Times New Roman"/>
                <w:sz w:val="24"/>
                <w:szCs w:val="24"/>
              </w:rPr>
              <w:t>氯化钠溶液，</w:t>
            </w:r>
            <w:r w:rsidRPr="00B801E9">
              <w:rPr>
                <w:rFonts w:ascii="Times New Roman" w:eastAsia="宋体" w:hAnsi="Times New Roman" w:cs="Times New Roman"/>
                <w:sz w:val="24"/>
                <w:szCs w:val="24"/>
              </w:rPr>
              <w:t>12</w:t>
            </w:r>
            <w:r w:rsidR="00B801E9" w:rsidRPr="00B801E9">
              <w:rPr>
                <w:rFonts w:ascii="Times New Roman" w:eastAsia="宋体" w:hAnsi="Times New Roman" w:cs="Times New Roman"/>
                <w:sz w:val="24"/>
                <w:szCs w:val="24"/>
              </w:rPr>
              <w:t xml:space="preserve"> h</w:t>
            </w:r>
            <w:r w:rsidRPr="00B801E9">
              <w:rPr>
                <w:rFonts w:ascii="Times New Roman" w:eastAsia="宋体" w:hAnsi="Times New Roman" w:cs="Times New Roman"/>
                <w:sz w:val="24"/>
                <w:szCs w:val="24"/>
              </w:rPr>
              <w:t>内使用</w:t>
            </w:r>
          </w:p>
          <w:p w:rsidR="007A5BD9" w:rsidRPr="00B801E9" w:rsidRDefault="006F57AF" w:rsidP="00B801E9">
            <w:pPr>
              <w:rPr>
                <w:rFonts w:ascii="Times New Roman" w:eastAsia="宋体" w:hAnsi="Times New Roman" w:cs="Times New Roman"/>
                <w:sz w:val="24"/>
                <w:szCs w:val="24"/>
              </w:rPr>
            </w:pPr>
            <w:r w:rsidRPr="00B801E9">
              <w:rPr>
                <w:rFonts w:ascii="Times New Roman" w:eastAsia="宋体" w:hAnsi="Times New Roman" w:cs="Times New Roman"/>
                <w:sz w:val="24"/>
                <w:szCs w:val="24"/>
              </w:rPr>
              <w:t>或溶于</w:t>
            </w:r>
            <w:r w:rsidRPr="00B801E9">
              <w:rPr>
                <w:rFonts w:ascii="Times New Roman" w:eastAsia="宋体" w:hAnsi="Times New Roman" w:cs="Times New Roman"/>
                <w:sz w:val="24"/>
                <w:szCs w:val="24"/>
              </w:rPr>
              <w:t>100</w:t>
            </w:r>
            <w:r w:rsidR="00B801E9" w:rsidRPr="00B801E9">
              <w:rPr>
                <w:rFonts w:ascii="Times New Roman" w:eastAsia="宋体" w:hAnsi="Times New Roman" w:cs="Times New Roman"/>
                <w:sz w:val="24"/>
                <w:szCs w:val="24"/>
              </w:rPr>
              <w:t xml:space="preserve"> </w:t>
            </w:r>
            <w:r w:rsidRPr="00B801E9">
              <w:rPr>
                <w:rFonts w:ascii="Times New Roman" w:eastAsia="宋体" w:hAnsi="Times New Roman" w:cs="Times New Roman"/>
                <w:sz w:val="24"/>
                <w:szCs w:val="24"/>
              </w:rPr>
              <w:t>m</w:t>
            </w:r>
            <w:r w:rsidR="00B801E9" w:rsidRPr="00B801E9">
              <w:rPr>
                <w:rFonts w:ascii="Times New Roman" w:eastAsia="宋体" w:hAnsi="Times New Roman" w:cs="Times New Roman"/>
                <w:sz w:val="24"/>
                <w:szCs w:val="24"/>
              </w:rPr>
              <w:t>L</w:t>
            </w:r>
            <w:r w:rsidRPr="00B801E9">
              <w:rPr>
                <w:rFonts w:ascii="Times New Roman" w:eastAsia="宋体" w:hAnsi="Times New Roman" w:cs="Times New Roman"/>
                <w:sz w:val="24"/>
                <w:szCs w:val="24"/>
              </w:rPr>
              <w:t xml:space="preserve"> 5%</w:t>
            </w:r>
            <w:r w:rsidRPr="00B801E9">
              <w:rPr>
                <w:rFonts w:ascii="Times New Roman" w:eastAsia="宋体" w:hAnsi="Times New Roman" w:cs="Times New Roman"/>
                <w:sz w:val="24"/>
                <w:szCs w:val="24"/>
              </w:rPr>
              <w:t>葡萄糖溶液，</w:t>
            </w:r>
            <w:r w:rsidRPr="00B801E9">
              <w:rPr>
                <w:rFonts w:ascii="Times New Roman" w:eastAsia="宋体" w:hAnsi="Times New Roman" w:cs="Times New Roman"/>
                <w:sz w:val="24"/>
                <w:szCs w:val="24"/>
              </w:rPr>
              <w:t>6</w:t>
            </w:r>
            <w:r w:rsidR="00B801E9" w:rsidRPr="00B801E9">
              <w:rPr>
                <w:rFonts w:ascii="Times New Roman" w:eastAsia="宋体" w:hAnsi="Times New Roman" w:cs="Times New Roman"/>
                <w:sz w:val="24"/>
                <w:szCs w:val="24"/>
              </w:rPr>
              <w:t xml:space="preserve"> h</w:t>
            </w:r>
            <w:r w:rsidRPr="00B801E9">
              <w:rPr>
                <w:rFonts w:ascii="Times New Roman" w:eastAsia="宋体" w:hAnsi="Times New Roman" w:cs="Times New Roman"/>
                <w:sz w:val="24"/>
                <w:szCs w:val="24"/>
              </w:rPr>
              <w:t>内使用</w:t>
            </w:r>
          </w:p>
        </w:tc>
        <w:tc>
          <w:tcPr>
            <w:tcW w:w="992" w:type="dxa"/>
            <w:tcBorders>
              <w:top w:val="single" w:sz="4" w:space="0" w:color="auto"/>
            </w:tcBorders>
            <w:shd w:val="clear" w:color="auto" w:fill="auto"/>
            <w:tcMar>
              <w:top w:w="72" w:type="dxa"/>
              <w:left w:w="144" w:type="dxa"/>
              <w:bottom w:w="72" w:type="dxa"/>
              <w:right w:w="144" w:type="dxa"/>
            </w:tcMar>
            <w:vAlign w:val="center"/>
          </w:tcPr>
          <w:p w:rsidR="007A5BD9" w:rsidRPr="00B801E9" w:rsidRDefault="006F57AF">
            <w:pPr>
              <w:jc w:val="center"/>
              <w:rPr>
                <w:rFonts w:ascii="Times New Roman" w:eastAsia="宋体" w:hAnsi="Times New Roman" w:cs="Times New Roman"/>
                <w:sz w:val="24"/>
                <w:szCs w:val="24"/>
              </w:rPr>
            </w:pPr>
            <w:r w:rsidRPr="00B801E9">
              <w:rPr>
                <w:rFonts w:ascii="Times New Roman" w:eastAsia="宋体" w:hAnsi="Times New Roman" w:cs="Times New Roman"/>
                <w:sz w:val="24"/>
                <w:szCs w:val="24"/>
              </w:rPr>
              <w:t>否</w:t>
            </w:r>
          </w:p>
        </w:tc>
      </w:tr>
      <w:tr w:rsidR="007A5BD9" w:rsidRPr="00B801E9" w:rsidTr="00DE7616">
        <w:trPr>
          <w:trHeight w:val="1008"/>
        </w:trPr>
        <w:tc>
          <w:tcPr>
            <w:tcW w:w="1845" w:type="dxa"/>
            <w:shd w:val="clear" w:color="auto" w:fill="auto"/>
            <w:tcMar>
              <w:top w:w="72" w:type="dxa"/>
              <w:left w:w="144" w:type="dxa"/>
              <w:bottom w:w="72" w:type="dxa"/>
              <w:right w:w="144" w:type="dxa"/>
            </w:tcMar>
            <w:vAlign w:val="center"/>
          </w:tcPr>
          <w:p w:rsidR="007A5BD9" w:rsidRPr="00B801E9" w:rsidRDefault="006F57AF">
            <w:pPr>
              <w:rPr>
                <w:rFonts w:ascii="Times New Roman" w:eastAsia="宋体" w:hAnsi="Times New Roman" w:cs="Times New Roman"/>
                <w:sz w:val="24"/>
                <w:szCs w:val="24"/>
              </w:rPr>
            </w:pPr>
            <w:r w:rsidRPr="00B801E9">
              <w:rPr>
                <w:rFonts w:ascii="Times New Roman" w:eastAsia="宋体" w:hAnsi="Times New Roman" w:cs="Times New Roman"/>
                <w:sz w:val="24"/>
                <w:szCs w:val="24"/>
              </w:rPr>
              <w:t>艾司奥美拉</w:t>
            </w:r>
            <w:proofErr w:type="gramStart"/>
            <w:r w:rsidRPr="00B801E9">
              <w:rPr>
                <w:rFonts w:ascii="Times New Roman" w:eastAsia="宋体" w:hAnsi="Times New Roman" w:cs="Times New Roman"/>
                <w:sz w:val="24"/>
                <w:szCs w:val="24"/>
              </w:rPr>
              <w:t>唑</w:t>
            </w:r>
            <w:proofErr w:type="gramEnd"/>
          </w:p>
        </w:tc>
        <w:tc>
          <w:tcPr>
            <w:tcW w:w="2977" w:type="dxa"/>
            <w:shd w:val="clear" w:color="auto" w:fill="auto"/>
            <w:tcMar>
              <w:top w:w="72" w:type="dxa"/>
              <w:left w:w="144" w:type="dxa"/>
              <w:bottom w:w="72" w:type="dxa"/>
              <w:right w:w="144" w:type="dxa"/>
            </w:tcMar>
            <w:vAlign w:val="center"/>
          </w:tcPr>
          <w:p w:rsidR="007A5BD9" w:rsidRPr="00B801E9" w:rsidRDefault="006F57AF" w:rsidP="00B801E9">
            <w:pPr>
              <w:rPr>
                <w:rFonts w:ascii="Times New Roman" w:eastAsia="宋体" w:hAnsi="Times New Roman" w:cs="Times New Roman"/>
                <w:sz w:val="24"/>
                <w:szCs w:val="24"/>
              </w:rPr>
            </w:pPr>
            <w:r w:rsidRPr="00B801E9">
              <w:rPr>
                <w:rFonts w:ascii="Times New Roman" w:eastAsia="宋体" w:hAnsi="Times New Roman" w:cs="Times New Roman"/>
                <w:sz w:val="24"/>
                <w:szCs w:val="24"/>
              </w:rPr>
              <w:t>溶于</w:t>
            </w:r>
            <w:r w:rsidRPr="00B801E9">
              <w:rPr>
                <w:rFonts w:ascii="Times New Roman" w:eastAsia="宋体" w:hAnsi="Times New Roman" w:cs="Times New Roman"/>
                <w:sz w:val="24"/>
                <w:szCs w:val="24"/>
              </w:rPr>
              <w:t>5</w:t>
            </w:r>
            <w:r w:rsidR="00B801E9" w:rsidRPr="00B801E9">
              <w:rPr>
                <w:rFonts w:ascii="Times New Roman" w:eastAsia="宋体" w:hAnsi="Times New Roman" w:cs="Times New Roman"/>
                <w:sz w:val="24"/>
                <w:szCs w:val="24"/>
              </w:rPr>
              <w:t xml:space="preserve"> </w:t>
            </w:r>
            <w:r w:rsidRPr="00B801E9">
              <w:rPr>
                <w:rFonts w:ascii="Times New Roman" w:eastAsia="宋体" w:hAnsi="Times New Roman" w:cs="Times New Roman"/>
                <w:sz w:val="24"/>
                <w:szCs w:val="24"/>
              </w:rPr>
              <w:t>m</w:t>
            </w:r>
            <w:r w:rsidR="00B801E9" w:rsidRPr="00B801E9">
              <w:rPr>
                <w:rFonts w:ascii="Times New Roman" w:eastAsia="宋体" w:hAnsi="Times New Roman" w:cs="Times New Roman"/>
                <w:sz w:val="24"/>
                <w:szCs w:val="24"/>
              </w:rPr>
              <w:t>L</w:t>
            </w:r>
            <w:r w:rsidRPr="00B801E9">
              <w:rPr>
                <w:rFonts w:ascii="Times New Roman" w:eastAsia="宋体" w:hAnsi="Times New Roman" w:cs="Times New Roman"/>
                <w:sz w:val="24"/>
                <w:szCs w:val="24"/>
              </w:rPr>
              <w:t xml:space="preserve"> 0.9%</w:t>
            </w:r>
            <w:r w:rsidRPr="00B801E9">
              <w:rPr>
                <w:rFonts w:ascii="Times New Roman" w:eastAsia="宋体" w:hAnsi="Times New Roman" w:cs="Times New Roman"/>
                <w:sz w:val="24"/>
                <w:szCs w:val="24"/>
              </w:rPr>
              <w:t>氯化钠溶液，</w:t>
            </w:r>
            <w:r w:rsidRPr="00B801E9">
              <w:rPr>
                <w:rFonts w:ascii="Times New Roman" w:eastAsia="宋体" w:hAnsi="Times New Roman" w:cs="Times New Roman"/>
                <w:sz w:val="24"/>
                <w:szCs w:val="24"/>
              </w:rPr>
              <w:t>12</w:t>
            </w:r>
            <w:r w:rsidR="00B801E9" w:rsidRPr="00B801E9">
              <w:rPr>
                <w:rFonts w:ascii="Times New Roman" w:eastAsia="宋体" w:hAnsi="Times New Roman" w:cs="Times New Roman"/>
                <w:sz w:val="24"/>
                <w:szCs w:val="24"/>
              </w:rPr>
              <w:t xml:space="preserve"> h</w:t>
            </w:r>
            <w:r w:rsidRPr="00B801E9">
              <w:rPr>
                <w:rFonts w:ascii="Times New Roman" w:eastAsia="宋体" w:hAnsi="Times New Roman" w:cs="Times New Roman"/>
                <w:sz w:val="24"/>
                <w:szCs w:val="24"/>
              </w:rPr>
              <w:t>内使用</w:t>
            </w:r>
          </w:p>
        </w:tc>
        <w:tc>
          <w:tcPr>
            <w:tcW w:w="3522" w:type="dxa"/>
            <w:shd w:val="clear" w:color="auto" w:fill="auto"/>
            <w:tcMar>
              <w:top w:w="72" w:type="dxa"/>
              <w:left w:w="144" w:type="dxa"/>
              <w:bottom w:w="72" w:type="dxa"/>
              <w:right w:w="144" w:type="dxa"/>
            </w:tcMar>
            <w:vAlign w:val="center"/>
          </w:tcPr>
          <w:p w:rsidR="007A5BD9" w:rsidRPr="00B801E9" w:rsidRDefault="006F57AF" w:rsidP="00B801E9">
            <w:pPr>
              <w:rPr>
                <w:rFonts w:ascii="Times New Roman" w:eastAsia="宋体" w:hAnsi="Times New Roman" w:cs="Times New Roman"/>
                <w:sz w:val="24"/>
                <w:szCs w:val="24"/>
              </w:rPr>
            </w:pPr>
            <w:r w:rsidRPr="00B801E9">
              <w:rPr>
                <w:rFonts w:ascii="Times New Roman" w:eastAsia="宋体" w:hAnsi="Times New Roman" w:cs="Times New Roman"/>
                <w:sz w:val="24"/>
                <w:szCs w:val="24"/>
              </w:rPr>
              <w:t>溶于</w:t>
            </w:r>
            <w:r w:rsidRPr="00B801E9">
              <w:rPr>
                <w:rFonts w:ascii="Times New Roman" w:eastAsia="宋体" w:hAnsi="Times New Roman" w:cs="Times New Roman"/>
                <w:sz w:val="24"/>
                <w:szCs w:val="24"/>
              </w:rPr>
              <w:t>100</w:t>
            </w:r>
            <w:r w:rsidR="00B801E9" w:rsidRPr="00B801E9">
              <w:rPr>
                <w:rFonts w:ascii="Times New Roman" w:eastAsia="宋体" w:hAnsi="Times New Roman" w:cs="Times New Roman"/>
                <w:sz w:val="24"/>
                <w:szCs w:val="24"/>
              </w:rPr>
              <w:t xml:space="preserve"> </w:t>
            </w:r>
            <w:r w:rsidRPr="00B801E9">
              <w:rPr>
                <w:rFonts w:ascii="Times New Roman" w:eastAsia="宋体" w:hAnsi="Times New Roman" w:cs="Times New Roman"/>
                <w:sz w:val="24"/>
                <w:szCs w:val="24"/>
              </w:rPr>
              <w:t>m</w:t>
            </w:r>
            <w:r w:rsidR="00B801E9" w:rsidRPr="00B801E9">
              <w:rPr>
                <w:rFonts w:ascii="Times New Roman" w:eastAsia="宋体" w:hAnsi="Times New Roman" w:cs="Times New Roman"/>
                <w:sz w:val="24"/>
                <w:szCs w:val="24"/>
              </w:rPr>
              <w:t>L</w:t>
            </w:r>
            <w:r w:rsidRPr="00B801E9">
              <w:rPr>
                <w:rFonts w:ascii="Times New Roman" w:eastAsia="宋体" w:hAnsi="Times New Roman" w:cs="Times New Roman"/>
                <w:sz w:val="24"/>
                <w:szCs w:val="24"/>
              </w:rPr>
              <w:t xml:space="preserve"> 0.9%</w:t>
            </w:r>
            <w:r w:rsidRPr="00B801E9">
              <w:rPr>
                <w:rFonts w:ascii="Times New Roman" w:eastAsia="宋体" w:hAnsi="Times New Roman" w:cs="Times New Roman"/>
                <w:sz w:val="24"/>
                <w:szCs w:val="24"/>
              </w:rPr>
              <w:t>氯化钠溶液，</w:t>
            </w:r>
            <w:r w:rsidRPr="00B801E9">
              <w:rPr>
                <w:rFonts w:ascii="Times New Roman" w:eastAsia="宋体" w:hAnsi="Times New Roman" w:cs="Times New Roman"/>
                <w:sz w:val="24"/>
                <w:szCs w:val="24"/>
              </w:rPr>
              <w:t>12</w:t>
            </w:r>
            <w:r w:rsidR="00B801E9" w:rsidRPr="00B801E9">
              <w:rPr>
                <w:rFonts w:ascii="Times New Roman" w:eastAsia="宋体" w:hAnsi="Times New Roman" w:cs="Times New Roman"/>
                <w:sz w:val="24"/>
                <w:szCs w:val="24"/>
              </w:rPr>
              <w:t xml:space="preserve"> h</w:t>
            </w:r>
            <w:r w:rsidRPr="00B801E9">
              <w:rPr>
                <w:rFonts w:ascii="Times New Roman" w:eastAsia="宋体" w:hAnsi="Times New Roman" w:cs="Times New Roman"/>
                <w:sz w:val="24"/>
                <w:szCs w:val="24"/>
              </w:rPr>
              <w:t>内使用</w:t>
            </w:r>
          </w:p>
        </w:tc>
        <w:tc>
          <w:tcPr>
            <w:tcW w:w="992" w:type="dxa"/>
            <w:shd w:val="clear" w:color="auto" w:fill="auto"/>
            <w:tcMar>
              <w:top w:w="72" w:type="dxa"/>
              <w:left w:w="144" w:type="dxa"/>
              <w:bottom w:w="72" w:type="dxa"/>
              <w:right w:w="144" w:type="dxa"/>
            </w:tcMar>
            <w:vAlign w:val="center"/>
          </w:tcPr>
          <w:p w:rsidR="007A5BD9" w:rsidRPr="00B801E9" w:rsidRDefault="006F57AF">
            <w:pPr>
              <w:jc w:val="center"/>
              <w:rPr>
                <w:rFonts w:ascii="Times New Roman" w:eastAsia="宋体" w:hAnsi="Times New Roman" w:cs="Times New Roman"/>
                <w:sz w:val="24"/>
                <w:szCs w:val="24"/>
              </w:rPr>
            </w:pPr>
            <w:r w:rsidRPr="00B801E9">
              <w:rPr>
                <w:rFonts w:ascii="Times New Roman" w:eastAsia="宋体" w:hAnsi="Times New Roman" w:cs="Times New Roman"/>
                <w:sz w:val="24"/>
                <w:szCs w:val="24"/>
              </w:rPr>
              <w:t>否</w:t>
            </w:r>
          </w:p>
        </w:tc>
      </w:tr>
      <w:tr w:rsidR="007A5BD9" w:rsidRPr="00B801E9" w:rsidTr="00DE7616">
        <w:trPr>
          <w:trHeight w:val="1008"/>
        </w:trPr>
        <w:tc>
          <w:tcPr>
            <w:tcW w:w="1845" w:type="dxa"/>
            <w:shd w:val="clear" w:color="auto" w:fill="auto"/>
            <w:tcMar>
              <w:top w:w="72" w:type="dxa"/>
              <w:left w:w="144" w:type="dxa"/>
              <w:bottom w:w="72" w:type="dxa"/>
              <w:right w:w="144" w:type="dxa"/>
            </w:tcMar>
            <w:vAlign w:val="center"/>
          </w:tcPr>
          <w:p w:rsidR="007A5BD9" w:rsidRPr="00B801E9" w:rsidRDefault="006F57AF">
            <w:pPr>
              <w:rPr>
                <w:rFonts w:ascii="Times New Roman" w:eastAsia="宋体" w:hAnsi="Times New Roman" w:cs="Times New Roman"/>
                <w:sz w:val="24"/>
                <w:szCs w:val="24"/>
              </w:rPr>
            </w:pPr>
            <w:proofErr w:type="gramStart"/>
            <w:r w:rsidRPr="00B801E9">
              <w:rPr>
                <w:rFonts w:ascii="Times New Roman" w:eastAsia="宋体" w:hAnsi="Times New Roman" w:cs="Times New Roman"/>
                <w:sz w:val="24"/>
                <w:szCs w:val="24"/>
              </w:rPr>
              <w:t>泮</w:t>
            </w:r>
            <w:proofErr w:type="gramEnd"/>
            <w:r w:rsidRPr="00B801E9">
              <w:rPr>
                <w:rFonts w:ascii="Times New Roman" w:eastAsia="宋体" w:hAnsi="Times New Roman" w:cs="Times New Roman"/>
                <w:sz w:val="24"/>
                <w:szCs w:val="24"/>
              </w:rPr>
              <w:t>托拉</w:t>
            </w:r>
            <w:proofErr w:type="gramStart"/>
            <w:r w:rsidRPr="00B801E9">
              <w:rPr>
                <w:rFonts w:ascii="Times New Roman" w:eastAsia="宋体" w:hAnsi="Times New Roman" w:cs="Times New Roman"/>
                <w:sz w:val="24"/>
                <w:szCs w:val="24"/>
              </w:rPr>
              <w:t>唑</w:t>
            </w:r>
            <w:proofErr w:type="gramEnd"/>
          </w:p>
        </w:tc>
        <w:tc>
          <w:tcPr>
            <w:tcW w:w="2977" w:type="dxa"/>
            <w:shd w:val="clear" w:color="auto" w:fill="auto"/>
            <w:tcMar>
              <w:top w:w="72" w:type="dxa"/>
              <w:left w:w="144" w:type="dxa"/>
              <w:bottom w:w="72" w:type="dxa"/>
              <w:right w:w="144" w:type="dxa"/>
            </w:tcMar>
            <w:vAlign w:val="center"/>
          </w:tcPr>
          <w:p w:rsidR="007A5BD9" w:rsidRPr="00B801E9" w:rsidRDefault="006F57AF" w:rsidP="00B801E9">
            <w:pPr>
              <w:rPr>
                <w:rFonts w:ascii="Times New Roman" w:eastAsia="宋体" w:hAnsi="Times New Roman" w:cs="Times New Roman"/>
                <w:sz w:val="24"/>
                <w:szCs w:val="24"/>
              </w:rPr>
            </w:pPr>
            <w:r w:rsidRPr="00B801E9">
              <w:rPr>
                <w:rFonts w:ascii="Times New Roman" w:eastAsia="宋体" w:hAnsi="Times New Roman" w:cs="Times New Roman"/>
                <w:sz w:val="24"/>
                <w:szCs w:val="24"/>
              </w:rPr>
              <w:t>溶于</w:t>
            </w:r>
            <w:r w:rsidRPr="00B801E9">
              <w:rPr>
                <w:rFonts w:ascii="Times New Roman" w:eastAsia="宋体" w:hAnsi="Times New Roman" w:cs="Times New Roman"/>
                <w:sz w:val="24"/>
                <w:szCs w:val="24"/>
              </w:rPr>
              <w:t>10</w:t>
            </w:r>
            <w:r w:rsidR="00B801E9" w:rsidRPr="00B801E9">
              <w:rPr>
                <w:rFonts w:ascii="Times New Roman" w:eastAsia="宋体" w:hAnsi="Times New Roman" w:cs="Times New Roman"/>
                <w:sz w:val="24"/>
                <w:szCs w:val="24"/>
              </w:rPr>
              <w:t xml:space="preserve"> </w:t>
            </w:r>
            <w:r w:rsidRPr="00B801E9">
              <w:rPr>
                <w:rFonts w:ascii="Times New Roman" w:eastAsia="宋体" w:hAnsi="Times New Roman" w:cs="Times New Roman"/>
                <w:sz w:val="24"/>
                <w:szCs w:val="24"/>
              </w:rPr>
              <w:t>m</w:t>
            </w:r>
            <w:r w:rsidR="00B801E9" w:rsidRPr="00B801E9">
              <w:rPr>
                <w:rFonts w:ascii="Times New Roman" w:eastAsia="宋体" w:hAnsi="Times New Roman" w:cs="Times New Roman"/>
                <w:sz w:val="24"/>
                <w:szCs w:val="24"/>
              </w:rPr>
              <w:t>L</w:t>
            </w:r>
            <w:r w:rsidRPr="00B801E9">
              <w:rPr>
                <w:rFonts w:ascii="Times New Roman" w:eastAsia="宋体" w:hAnsi="Times New Roman" w:cs="Times New Roman"/>
                <w:sz w:val="24"/>
                <w:szCs w:val="24"/>
              </w:rPr>
              <w:t xml:space="preserve"> 0.9%</w:t>
            </w:r>
            <w:r w:rsidRPr="00B801E9">
              <w:rPr>
                <w:rFonts w:ascii="Times New Roman" w:eastAsia="宋体" w:hAnsi="Times New Roman" w:cs="Times New Roman"/>
                <w:sz w:val="24"/>
                <w:szCs w:val="24"/>
              </w:rPr>
              <w:t>氯化钠溶液，</w:t>
            </w:r>
            <w:r w:rsidRPr="00B801E9">
              <w:rPr>
                <w:rFonts w:ascii="Times New Roman" w:eastAsia="宋体" w:hAnsi="Times New Roman" w:cs="Times New Roman"/>
                <w:sz w:val="24"/>
                <w:szCs w:val="24"/>
              </w:rPr>
              <w:t>12</w:t>
            </w:r>
            <w:r w:rsidR="00B801E9" w:rsidRPr="00B801E9">
              <w:rPr>
                <w:rFonts w:ascii="Times New Roman" w:eastAsia="宋体" w:hAnsi="Times New Roman" w:cs="Times New Roman"/>
                <w:sz w:val="24"/>
                <w:szCs w:val="24"/>
              </w:rPr>
              <w:t xml:space="preserve"> h</w:t>
            </w:r>
            <w:r w:rsidRPr="00B801E9">
              <w:rPr>
                <w:rFonts w:ascii="Times New Roman" w:eastAsia="宋体" w:hAnsi="Times New Roman" w:cs="Times New Roman"/>
                <w:sz w:val="24"/>
                <w:szCs w:val="24"/>
              </w:rPr>
              <w:t>内使用</w:t>
            </w:r>
          </w:p>
        </w:tc>
        <w:tc>
          <w:tcPr>
            <w:tcW w:w="3522" w:type="dxa"/>
            <w:shd w:val="clear" w:color="auto" w:fill="auto"/>
            <w:tcMar>
              <w:top w:w="72" w:type="dxa"/>
              <w:left w:w="144" w:type="dxa"/>
              <w:bottom w:w="72" w:type="dxa"/>
              <w:right w:w="144" w:type="dxa"/>
            </w:tcMar>
            <w:vAlign w:val="center"/>
          </w:tcPr>
          <w:p w:rsidR="007A5BD9" w:rsidRPr="00B801E9" w:rsidRDefault="006F57AF" w:rsidP="00B801E9">
            <w:pPr>
              <w:rPr>
                <w:rFonts w:ascii="Times New Roman" w:eastAsia="宋体" w:hAnsi="Times New Roman" w:cs="Times New Roman"/>
                <w:sz w:val="24"/>
                <w:szCs w:val="24"/>
              </w:rPr>
            </w:pPr>
            <w:r w:rsidRPr="00B801E9">
              <w:rPr>
                <w:rFonts w:ascii="Times New Roman" w:eastAsia="宋体" w:hAnsi="Times New Roman" w:cs="Times New Roman"/>
                <w:sz w:val="24"/>
                <w:szCs w:val="24"/>
              </w:rPr>
              <w:t>溶于</w:t>
            </w:r>
            <w:r w:rsidRPr="00B801E9">
              <w:rPr>
                <w:rFonts w:ascii="Times New Roman" w:eastAsia="宋体" w:hAnsi="Times New Roman" w:cs="Times New Roman"/>
                <w:sz w:val="24"/>
                <w:szCs w:val="24"/>
              </w:rPr>
              <w:t>100</w:t>
            </w:r>
            <w:r w:rsidR="00B801E9" w:rsidRPr="00B801E9">
              <w:rPr>
                <w:rFonts w:ascii="Times New Roman" w:eastAsia="宋体" w:hAnsi="Times New Roman" w:cs="Times New Roman"/>
                <w:sz w:val="24"/>
                <w:szCs w:val="24"/>
              </w:rPr>
              <w:t xml:space="preserve"> </w:t>
            </w:r>
            <w:r w:rsidRPr="00B801E9">
              <w:rPr>
                <w:rFonts w:ascii="Times New Roman" w:eastAsia="宋体" w:hAnsi="Times New Roman" w:cs="Times New Roman"/>
                <w:sz w:val="24"/>
                <w:szCs w:val="24"/>
              </w:rPr>
              <w:t>m</w:t>
            </w:r>
            <w:r w:rsidR="00B801E9" w:rsidRPr="00B801E9">
              <w:rPr>
                <w:rFonts w:ascii="Times New Roman" w:eastAsia="宋体" w:hAnsi="Times New Roman" w:cs="Times New Roman"/>
                <w:sz w:val="24"/>
                <w:szCs w:val="24"/>
              </w:rPr>
              <w:t>L</w:t>
            </w:r>
            <w:r w:rsidRPr="00B801E9">
              <w:rPr>
                <w:rFonts w:ascii="Times New Roman" w:eastAsia="宋体" w:hAnsi="Times New Roman" w:cs="Times New Roman"/>
                <w:sz w:val="24"/>
                <w:szCs w:val="24"/>
              </w:rPr>
              <w:t xml:space="preserve"> 0.9%</w:t>
            </w:r>
            <w:r w:rsidRPr="00B801E9">
              <w:rPr>
                <w:rFonts w:ascii="Times New Roman" w:eastAsia="宋体" w:hAnsi="Times New Roman" w:cs="Times New Roman"/>
                <w:sz w:val="24"/>
                <w:szCs w:val="24"/>
              </w:rPr>
              <w:t>氯化钠溶液或</w:t>
            </w:r>
            <w:r w:rsidRPr="00B801E9">
              <w:rPr>
                <w:rFonts w:ascii="Times New Roman" w:eastAsia="宋体" w:hAnsi="Times New Roman" w:cs="Times New Roman"/>
                <w:sz w:val="24"/>
                <w:szCs w:val="24"/>
              </w:rPr>
              <w:t>5%</w:t>
            </w:r>
            <w:r w:rsidRPr="00B801E9">
              <w:rPr>
                <w:rFonts w:ascii="Times New Roman" w:eastAsia="宋体" w:hAnsi="Times New Roman" w:cs="Times New Roman"/>
                <w:sz w:val="24"/>
                <w:szCs w:val="24"/>
              </w:rPr>
              <w:t>葡萄糖溶液，</w:t>
            </w:r>
            <w:r w:rsidRPr="00B801E9">
              <w:rPr>
                <w:rFonts w:ascii="Times New Roman" w:eastAsia="宋体" w:hAnsi="Times New Roman" w:cs="Times New Roman"/>
                <w:sz w:val="24"/>
                <w:szCs w:val="24"/>
              </w:rPr>
              <w:t>12</w:t>
            </w:r>
            <w:r w:rsidR="00B801E9" w:rsidRPr="00B801E9">
              <w:rPr>
                <w:rFonts w:ascii="Times New Roman" w:eastAsia="宋体" w:hAnsi="Times New Roman" w:cs="Times New Roman"/>
                <w:sz w:val="24"/>
                <w:szCs w:val="24"/>
              </w:rPr>
              <w:t xml:space="preserve"> h</w:t>
            </w:r>
            <w:r w:rsidRPr="00B801E9">
              <w:rPr>
                <w:rFonts w:ascii="Times New Roman" w:eastAsia="宋体" w:hAnsi="Times New Roman" w:cs="Times New Roman"/>
                <w:sz w:val="24"/>
                <w:szCs w:val="24"/>
              </w:rPr>
              <w:t>内使用</w:t>
            </w:r>
          </w:p>
        </w:tc>
        <w:tc>
          <w:tcPr>
            <w:tcW w:w="992" w:type="dxa"/>
            <w:shd w:val="clear" w:color="auto" w:fill="auto"/>
            <w:tcMar>
              <w:top w:w="72" w:type="dxa"/>
              <w:left w:w="144" w:type="dxa"/>
              <w:bottom w:w="72" w:type="dxa"/>
              <w:right w:w="144" w:type="dxa"/>
            </w:tcMar>
            <w:vAlign w:val="center"/>
          </w:tcPr>
          <w:p w:rsidR="007A5BD9" w:rsidRPr="00B801E9" w:rsidRDefault="006F57AF">
            <w:pPr>
              <w:jc w:val="center"/>
              <w:rPr>
                <w:rFonts w:ascii="Times New Roman" w:eastAsia="宋体" w:hAnsi="Times New Roman" w:cs="Times New Roman"/>
                <w:sz w:val="24"/>
                <w:szCs w:val="24"/>
              </w:rPr>
            </w:pPr>
            <w:r w:rsidRPr="00B801E9">
              <w:rPr>
                <w:rFonts w:ascii="Times New Roman" w:eastAsia="宋体" w:hAnsi="Times New Roman" w:cs="Times New Roman"/>
                <w:sz w:val="24"/>
                <w:szCs w:val="24"/>
              </w:rPr>
              <w:t>否</w:t>
            </w:r>
          </w:p>
        </w:tc>
      </w:tr>
      <w:tr w:rsidR="007A5BD9" w:rsidRPr="00B801E9" w:rsidTr="00DE7616">
        <w:trPr>
          <w:trHeight w:val="1008"/>
        </w:trPr>
        <w:tc>
          <w:tcPr>
            <w:tcW w:w="1845" w:type="dxa"/>
            <w:shd w:val="clear" w:color="auto" w:fill="auto"/>
            <w:tcMar>
              <w:top w:w="72" w:type="dxa"/>
              <w:left w:w="144" w:type="dxa"/>
              <w:bottom w:w="72" w:type="dxa"/>
              <w:right w:w="144" w:type="dxa"/>
            </w:tcMar>
            <w:vAlign w:val="center"/>
          </w:tcPr>
          <w:p w:rsidR="007A5BD9" w:rsidRPr="00B801E9" w:rsidRDefault="006F57AF">
            <w:pPr>
              <w:rPr>
                <w:rFonts w:ascii="Times New Roman" w:eastAsia="宋体" w:hAnsi="Times New Roman" w:cs="Times New Roman"/>
                <w:sz w:val="24"/>
                <w:szCs w:val="24"/>
              </w:rPr>
            </w:pPr>
            <w:r w:rsidRPr="00B801E9">
              <w:rPr>
                <w:rFonts w:ascii="Times New Roman" w:eastAsia="宋体" w:hAnsi="Times New Roman" w:cs="Times New Roman"/>
                <w:sz w:val="24"/>
                <w:szCs w:val="24"/>
              </w:rPr>
              <w:t>兰索拉</w:t>
            </w:r>
            <w:proofErr w:type="gramStart"/>
            <w:r w:rsidRPr="00B801E9">
              <w:rPr>
                <w:rFonts w:ascii="Times New Roman" w:eastAsia="宋体" w:hAnsi="Times New Roman" w:cs="Times New Roman"/>
                <w:sz w:val="24"/>
                <w:szCs w:val="24"/>
              </w:rPr>
              <w:t>唑</w:t>
            </w:r>
            <w:proofErr w:type="gramEnd"/>
          </w:p>
        </w:tc>
        <w:tc>
          <w:tcPr>
            <w:tcW w:w="2977" w:type="dxa"/>
            <w:shd w:val="clear" w:color="auto" w:fill="auto"/>
            <w:tcMar>
              <w:top w:w="72" w:type="dxa"/>
              <w:left w:w="144" w:type="dxa"/>
              <w:bottom w:w="72" w:type="dxa"/>
              <w:right w:w="144" w:type="dxa"/>
            </w:tcMar>
            <w:vAlign w:val="center"/>
          </w:tcPr>
          <w:p w:rsidR="007A5BD9" w:rsidRPr="00B801E9" w:rsidRDefault="006F57AF">
            <w:pPr>
              <w:jc w:val="center"/>
              <w:rPr>
                <w:rFonts w:ascii="Times New Roman" w:eastAsia="宋体" w:hAnsi="Times New Roman" w:cs="Times New Roman"/>
                <w:sz w:val="24"/>
                <w:szCs w:val="24"/>
              </w:rPr>
            </w:pPr>
            <w:r w:rsidRPr="00B801E9">
              <w:rPr>
                <w:rFonts w:ascii="Times New Roman" w:eastAsia="宋体" w:hAnsi="Times New Roman" w:cs="Times New Roman"/>
                <w:sz w:val="24"/>
                <w:szCs w:val="24"/>
              </w:rPr>
              <w:t>不可推注</w:t>
            </w:r>
          </w:p>
        </w:tc>
        <w:tc>
          <w:tcPr>
            <w:tcW w:w="3522" w:type="dxa"/>
            <w:shd w:val="clear" w:color="auto" w:fill="auto"/>
            <w:tcMar>
              <w:top w:w="72" w:type="dxa"/>
              <w:left w:w="144" w:type="dxa"/>
              <w:bottom w:w="72" w:type="dxa"/>
              <w:right w:w="144" w:type="dxa"/>
            </w:tcMar>
            <w:vAlign w:val="center"/>
          </w:tcPr>
          <w:p w:rsidR="007A5BD9" w:rsidRPr="00B801E9" w:rsidRDefault="006F57AF" w:rsidP="00B801E9">
            <w:pPr>
              <w:rPr>
                <w:rFonts w:ascii="Times New Roman" w:eastAsia="宋体" w:hAnsi="Times New Roman" w:cs="Times New Roman"/>
                <w:sz w:val="24"/>
                <w:szCs w:val="24"/>
              </w:rPr>
            </w:pPr>
            <w:r w:rsidRPr="00B801E9">
              <w:rPr>
                <w:rFonts w:ascii="Times New Roman" w:eastAsia="宋体" w:hAnsi="Times New Roman" w:cs="Times New Roman"/>
                <w:sz w:val="24"/>
                <w:szCs w:val="24"/>
              </w:rPr>
              <w:t>溶于</w:t>
            </w:r>
            <w:r w:rsidRPr="00B801E9">
              <w:rPr>
                <w:rFonts w:ascii="Times New Roman" w:eastAsia="宋体" w:hAnsi="Times New Roman" w:cs="Times New Roman"/>
                <w:sz w:val="24"/>
                <w:szCs w:val="24"/>
              </w:rPr>
              <w:t>100</w:t>
            </w:r>
            <w:r w:rsidR="00B801E9" w:rsidRPr="00B801E9">
              <w:rPr>
                <w:rFonts w:ascii="Times New Roman" w:eastAsia="宋体" w:hAnsi="Times New Roman" w:cs="Times New Roman"/>
                <w:sz w:val="24"/>
                <w:szCs w:val="24"/>
              </w:rPr>
              <w:t xml:space="preserve"> </w:t>
            </w:r>
            <w:r w:rsidRPr="00B801E9">
              <w:rPr>
                <w:rFonts w:ascii="Times New Roman" w:eastAsia="宋体" w:hAnsi="Times New Roman" w:cs="Times New Roman"/>
                <w:sz w:val="24"/>
                <w:szCs w:val="24"/>
              </w:rPr>
              <w:t>m</w:t>
            </w:r>
            <w:r w:rsidR="00B801E9" w:rsidRPr="00B801E9">
              <w:rPr>
                <w:rFonts w:ascii="Times New Roman" w:eastAsia="宋体" w:hAnsi="Times New Roman" w:cs="Times New Roman"/>
                <w:sz w:val="24"/>
                <w:szCs w:val="24"/>
              </w:rPr>
              <w:t>L</w:t>
            </w:r>
            <w:r w:rsidRPr="00B801E9">
              <w:rPr>
                <w:rFonts w:ascii="Times New Roman" w:eastAsia="宋体" w:hAnsi="Times New Roman" w:cs="Times New Roman"/>
                <w:sz w:val="24"/>
                <w:szCs w:val="24"/>
              </w:rPr>
              <w:t xml:space="preserve"> 0.9</w:t>
            </w:r>
            <w:r w:rsidRPr="00B801E9">
              <w:rPr>
                <w:rFonts w:ascii="Times New Roman" w:eastAsia="宋体" w:hAnsi="Times New Roman" w:cs="Times New Roman"/>
                <w:sz w:val="24"/>
                <w:szCs w:val="24"/>
              </w:rPr>
              <w:t>％氯化钠溶液，应尽快使用，勿保存</w:t>
            </w:r>
          </w:p>
        </w:tc>
        <w:tc>
          <w:tcPr>
            <w:tcW w:w="992" w:type="dxa"/>
            <w:shd w:val="clear" w:color="auto" w:fill="auto"/>
            <w:tcMar>
              <w:top w:w="72" w:type="dxa"/>
              <w:left w:w="144" w:type="dxa"/>
              <w:bottom w:w="72" w:type="dxa"/>
              <w:right w:w="144" w:type="dxa"/>
            </w:tcMar>
            <w:vAlign w:val="center"/>
          </w:tcPr>
          <w:p w:rsidR="007A5BD9" w:rsidRPr="00B801E9" w:rsidRDefault="006F57AF">
            <w:pPr>
              <w:jc w:val="center"/>
              <w:rPr>
                <w:rFonts w:ascii="Times New Roman" w:eastAsia="宋体" w:hAnsi="Times New Roman" w:cs="Times New Roman"/>
                <w:sz w:val="24"/>
                <w:szCs w:val="24"/>
              </w:rPr>
            </w:pPr>
            <w:r w:rsidRPr="00B801E9">
              <w:rPr>
                <w:rFonts w:ascii="Times New Roman" w:eastAsia="宋体" w:hAnsi="Times New Roman" w:cs="Times New Roman"/>
                <w:sz w:val="24"/>
                <w:szCs w:val="24"/>
              </w:rPr>
              <w:t>是</w:t>
            </w:r>
          </w:p>
        </w:tc>
      </w:tr>
      <w:tr w:rsidR="007A5BD9" w:rsidRPr="00B801E9" w:rsidTr="00DE7616">
        <w:trPr>
          <w:trHeight w:val="1008"/>
        </w:trPr>
        <w:tc>
          <w:tcPr>
            <w:tcW w:w="1845" w:type="dxa"/>
            <w:shd w:val="clear" w:color="auto" w:fill="auto"/>
            <w:tcMar>
              <w:top w:w="72" w:type="dxa"/>
              <w:left w:w="144" w:type="dxa"/>
              <w:bottom w:w="72" w:type="dxa"/>
              <w:right w:w="144" w:type="dxa"/>
            </w:tcMar>
            <w:vAlign w:val="center"/>
          </w:tcPr>
          <w:p w:rsidR="007A5BD9" w:rsidRPr="00B801E9" w:rsidRDefault="006F57AF">
            <w:pPr>
              <w:rPr>
                <w:rFonts w:ascii="Times New Roman" w:eastAsia="宋体" w:hAnsi="Times New Roman" w:cs="Times New Roman"/>
                <w:sz w:val="24"/>
                <w:szCs w:val="24"/>
              </w:rPr>
            </w:pPr>
            <w:r w:rsidRPr="00B801E9">
              <w:rPr>
                <w:rFonts w:ascii="Times New Roman" w:eastAsia="宋体" w:hAnsi="Times New Roman" w:cs="Times New Roman"/>
                <w:sz w:val="24"/>
                <w:szCs w:val="24"/>
              </w:rPr>
              <w:t>雷贝拉</w:t>
            </w:r>
            <w:proofErr w:type="gramStart"/>
            <w:r w:rsidRPr="00B801E9">
              <w:rPr>
                <w:rFonts w:ascii="Times New Roman" w:eastAsia="宋体" w:hAnsi="Times New Roman" w:cs="Times New Roman"/>
                <w:sz w:val="24"/>
                <w:szCs w:val="24"/>
              </w:rPr>
              <w:t>唑</w:t>
            </w:r>
            <w:proofErr w:type="gramEnd"/>
          </w:p>
        </w:tc>
        <w:tc>
          <w:tcPr>
            <w:tcW w:w="2977" w:type="dxa"/>
            <w:shd w:val="clear" w:color="auto" w:fill="auto"/>
            <w:tcMar>
              <w:top w:w="72" w:type="dxa"/>
              <w:left w:w="144" w:type="dxa"/>
              <w:bottom w:w="72" w:type="dxa"/>
              <w:right w:w="144" w:type="dxa"/>
            </w:tcMar>
            <w:vAlign w:val="center"/>
          </w:tcPr>
          <w:p w:rsidR="007A5BD9" w:rsidRPr="00B801E9" w:rsidRDefault="006F57AF">
            <w:pPr>
              <w:tabs>
                <w:tab w:val="center" w:pos="4320"/>
                <w:tab w:val="right" w:pos="8640"/>
              </w:tabs>
              <w:jc w:val="center"/>
              <w:rPr>
                <w:rFonts w:ascii="Times New Roman" w:eastAsia="宋体" w:hAnsi="Times New Roman" w:cs="Times New Roman"/>
                <w:sz w:val="24"/>
                <w:szCs w:val="24"/>
              </w:rPr>
            </w:pPr>
            <w:r w:rsidRPr="00B801E9">
              <w:rPr>
                <w:rFonts w:ascii="Times New Roman" w:eastAsia="宋体" w:hAnsi="Times New Roman" w:cs="Times New Roman"/>
                <w:sz w:val="24"/>
                <w:szCs w:val="24"/>
              </w:rPr>
              <w:t>不可推注</w:t>
            </w:r>
          </w:p>
        </w:tc>
        <w:tc>
          <w:tcPr>
            <w:tcW w:w="3522" w:type="dxa"/>
            <w:shd w:val="clear" w:color="auto" w:fill="auto"/>
            <w:tcMar>
              <w:top w:w="72" w:type="dxa"/>
              <w:left w:w="144" w:type="dxa"/>
              <w:bottom w:w="72" w:type="dxa"/>
              <w:right w:w="144" w:type="dxa"/>
            </w:tcMar>
            <w:vAlign w:val="center"/>
          </w:tcPr>
          <w:p w:rsidR="007A5BD9" w:rsidRPr="00B801E9" w:rsidRDefault="006F57AF" w:rsidP="00B801E9">
            <w:pPr>
              <w:tabs>
                <w:tab w:val="center" w:pos="4320"/>
                <w:tab w:val="right" w:pos="8640"/>
              </w:tabs>
              <w:rPr>
                <w:rFonts w:ascii="Times New Roman" w:eastAsia="宋体" w:hAnsi="Times New Roman" w:cs="Times New Roman"/>
                <w:sz w:val="24"/>
                <w:szCs w:val="24"/>
              </w:rPr>
            </w:pPr>
            <w:r w:rsidRPr="00B801E9">
              <w:rPr>
                <w:rFonts w:ascii="Times New Roman" w:eastAsia="宋体" w:hAnsi="Times New Roman" w:cs="Times New Roman"/>
                <w:sz w:val="24"/>
                <w:szCs w:val="24"/>
              </w:rPr>
              <w:t>以</w:t>
            </w:r>
            <w:r w:rsidRPr="00B801E9">
              <w:rPr>
                <w:rFonts w:ascii="Times New Roman" w:eastAsia="宋体" w:hAnsi="Times New Roman" w:cs="Times New Roman"/>
                <w:sz w:val="24"/>
                <w:szCs w:val="24"/>
              </w:rPr>
              <w:t>0.9%</w:t>
            </w:r>
            <w:r w:rsidRPr="00B801E9">
              <w:rPr>
                <w:rFonts w:ascii="Times New Roman" w:eastAsia="宋体" w:hAnsi="Times New Roman" w:cs="Times New Roman"/>
                <w:sz w:val="24"/>
                <w:szCs w:val="24"/>
              </w:rPr>
              <w:t>氯化钠注射液</w:t>
            </w:r>
            <w:r w:rsidRPr="00B801E9">
              <w:rPr>
                <w:rFonts w:ascii="Times New Roman" w:eastAsia="宋体" w:hAnsi="Times New Roman" w:cs="Times New Roman"/>
                <w:sz w:val="24"/>
                <w:szCs w:val="24"/>
              </w:rPr>
              <w:t>5</w:t>
            </w:r>
            <w:r w:rsidR="00B801E9" w:rsidRPr="00B801E9">
              <w:rPr>
                <w:rFonts w:ascii="Times New Roman" w:eastAsia="宋体" w:hAnsi="Times New Roman" w:cs="Times New Roman"/>
                <w:sz w:val="24"/>
                <w:szCs w:val="24"/>
              </w:rPr>
              <w:t xml:space="preserve"> </w:t>
            </w:r>
            <w:r w:rsidRPr="00B801E9">
              <w:rPr>
                <w:rFonts w:ascii="Times New Roman" w:eastAsia="宋体" w:hAnsi="Times New Roman" w:cs="Times New Roman"/>
                <w:sz w:val="24"/>
                <w:szCs w:val="24"/>
              </w:rPr>
              <w:t>m</w:t>
            </w:r>
            <w:r w:rsidR="00B801E9" w:rsidRPr="00B801E9">
              <w:rPr>
                <w:rFonts w:ascii="Times New Roman" w:eastAsia="宋体" w:hAnsi="Times New Roman" w:cs="Times New Roman"/>
                <w:sz w:val="24"/>
                <w:szCs w:val="24"/>
              </w:rPr>
              <w:t>L</w:t>
            </w:r>
            <w:r w:rsidRPr="00B801E9">
              <w:rPr>
                <w:rFonts w:ascii="Times New Roman" w:eastAsia="宋体" w:hAnsi="Times New Roman" w:cs="Times New Roman"/>
                <w:sz w:val="24"/>
                <w:szCs w:val="24"/>
              </w:rPr>
              <w:t>溶解，溶解后的药液加入</w:t>
            </w:r>
            <w:r w:rsidRPr="00B801E9">
              <w:rPr>
                <w:rFonts w:ascii="Times New Roman" w:eastAsia="宋体" w:hAnsi="Times New Roman" w:cs="Times New Roman"/>
                <w:sz w:val="24"/>
                <w:szCs w:val="24"/>
              </w:rPr>
              <w:t>100</w:t>
            </w:r>
            <w:r w:rsidR="00B801E9" w:rsidRPr="00B801E9">
              <w:rPr>
                <w:rFonts w:ascii="Times New Roman" w:eastAsia="宋体" w:hAnsi="Times New Roman" w:cs="Times New Roman"/>
                <w:sz w:val="24"/>
                <w:szCs w:val="24"/>
              </w:rPr>
              <w:t xml:space="preserve"> </w:t>
            </w:r>
            <w:r w:rsidRPr="00B801E9">
              <w:rPr>
                <w:rFonts w:ascii="Times New Roman" w:eastAsia="宋体" w:hAnsi="Times New Roman" w:cs="Times New Roman"/>
                <w:sz w:val="24"/>
                <w:szCs w:val="24"/>
              </w:rPr>
              <w:t>m</w:t>
            </w:r>
            <w:r w:rsidR="00B801E9" w:rsidRPr="00B801E9">
              <w:rPr>
                <w:rFonts w:ascii="Times New Roman" w:eastAsia="宋体" w:hAnsi="Times New Roman" w:cs="Times New Roman"/>
                <w:sz w:val="24"/>
                <w:szCs w:val="24"/>
              </w:rPr>
              <w:t>L</w:t>
            </w:r>
            <w:r w:rsidRPr="00B801E9">
              <w:rPr>
                <w:rFonts w:ascii="Times New Roman" w:eastAsia="宋体" w:hAnsi="Times New Roman" w:cs="Times New Roman"/>
                <w:sz w:val="24"/>
                <w:szCs w:val="24"/>
              </w:rPr>
              <w:t xml:space="preserve"> 0.9%</w:t>
            </w:r>
            <w:r w:rsidRPr="00B801E9">
              <w:rPr>
                <w:rFonts w:ascii="Times New Roman" w:eastAsia="宋体" w:hAnsi="Times New Roman" w:cs="Times New Roman"/>
                <w:sz w:val="24"/>
                <w:szCs w:val="24"/>
              </w:rPr>
              <w:t>氯化钠溶液，</w:t>
            </w:r>
            <w:r w:rsidRPr="00B801E9">
              <w:rPr>
                <w:rFonts w:ascii="Times New Roman" w:eastAsia="宋体" w:hAnsi="Times New Roman" w:cs="Times New Roman"/>
                <w:sz w:val="24"/>
                <w:szCs w:val="24"/>
              </w:rPr>
              <w:t>2</w:t>
            </w:r>
            <w:r w:rsidR="00B801E9" w:rsidRPr="00B801E9">
              <w:rPr>
                <w:rFonts w:ascii="Times New Roman" w:eastAsia="宋体" w:hAnsi="Times New Roman" w:cs="Times New Roman"/>
                <w:sz w:val="24"/>
                <w:szCs w:val="24"/>
              </w:rPr>
              <w:t xml:space="preserve"> h</w:t>
            </w:r>
            <w:r w:rsidRPr="00B801E9">
              <w:rPr>
                <w:rFonts w:ascii="Times New Roman" w:eastAsia="宋体" w:hAnsi="Times New Roman" w:cs="Times New Roman"/>
                <w:sz w:val="24"/>
                <w:szCs w:val="24"/>
              </w:rPr>
              <w:t>内使用</w:t>
            </w:r>
          </w:p>
        </w:tc>
        <w:tc>
          <w:tcPr>
            <w:tcW w:w="992" w:type="dxa"/>
            <w:shd w:val="clear" w:color="auto" w:fill="auto"/>
            <w:tcMar>
              <w:top w:w="72" w:type="dxa"/>
              <w:left w:w="144" w:type="dxa"/>
              <w:bottom w:w="72" w:type="dxa"/>
              <w:right w:w="144" w:type="dxa"/>
            </w:tcMar>
            <w:vAlign w:val="center"/>
          </w:tcPr>
          <w:p w:rsidR="007A5BD9" w:rsidRPr="00B801E9" w:rsidRDefault="006F57AF">
            <w:pPr>
              <w:tabs>
                <w:tab w:val="center" w:pos="4320"/>
                <w:tab w:val="right" w:pos="8640"/>
              </w:tabs>
              <w:jc w:val="center"/>
              <w:rPr>
                <w:rFonts w:ascii="Times New Roman" w:eastAsia="宋体" w:hAnsi="Times New Roman" w:cs="Times New Roman"/>
                <w:sz w:val="24"/>
                <w:szCs w:val="24"/>
              </w:rPr>
            </w:pPr>
            <w:r w:rsidRPr="00B801E9">
              <w:rPr>
                <w:rFonts w:ascii="Times New Roman" w:eastAsia="宋体" w:hAnsi="Times New Roman" w:cs="Times New Roman"/>
                <w:sz w:val="24"/>
                <w:szCs w:val="24"/>
              </w:rPr>
              <w:t>否</w:t>
            </w:r>
          </w:p>
        </w:tc>
      </w:tr>
    </w:tbl>
    <w:p w:rsidR="007A5BD9" w:rsidRDefault="007A5BD9" w:rsidP="00703EA2">
      <w:pPr>
        <w:jc w:val="both"/>
        <w:rPr>
          <w:rFonts w:ascii="微软雅黑" w:eastAsia="微软雅黑" w:hAnsi="微软雅黑" w:cs="宋体"/>
        </w:rPr>
      </w:pPr>
    </w:p>
    <w:p w:rsidR="007A5BD9" w:rsidRPr="00505282" w:rsidRDefault="00505282" w:rsidP="00703EA2">
      <w:pPr>
        <w:spacing w:after="0"/>
        <w:jc w:val="both"/>
        <w:rPr>
          <w:rFonts w:ascii="黑体" w:eastAsia="黑体" w:hAnsi="黑体" w:cs="宋体"/>
          <w:sz w:val="24"/>
          <w:szCs w:val="24"/>
        </w:rPr>
      </w:pPr>
      <w:r>
        <w:rPr>
          <w:rFonts w:ascii="黑体" w:eastAsia="黑体" w:hAnsi="黑体" w:cs="宋体" w:hint="eastAsia"/>
          <w:bCs/>
          <w:sz w:val="24"/>
          <w:szCs w:val="24"/>
        </w:rPr>
        <w:t>4.</w:t>
      </w:r>
      <w:r w:rsidRPr="00505282">
        <w:rPr>
          <w:rFonts w:ascii="黑体" w:eastAsia="黑体" w:hAnsi="黑体" w:cs="宋体" w:hint="eastAsia"/>
          <w:bCs/>
          <w:sz w:val="24"/>
          <w:szCs w:val="24"/>
        </w:rPr>
        <w:t>4</w:t>
      </w:r>
      <w:r>
        <w:rPr>
          <w:rFonts w:ascii="黑体" w:eastAsia="黑体" w:hAnsi="黑体" w:cs="宋体" w:hint="eastAsia"/>
          <w:bCs/>
          <w:sz w:val="24"/>
          <w:szCs w:val="24"/>
        </w:rPr>
        <w:t xml:space="preserve"> </w:t>
      </w:r>
      <w:r w:rsidRPr="00505282">
        <w:rPr>
          <w:rFonts w:ascii="Times New Roman" w:eastAsia="黑体" w:hAnsi="Times New Roman" w:cs="Times New Roman"/>
          <w:bCs/>
          <w:sz w:val="24"/>
          <w:szCs w:val="24"/>
        </w:rPr>
        <w:t xml:space="preserve"> </w:t>
      </w:r>
      <w:r w:rsidR="006F57AF" w:rsidRPr="00505282">
        <w:rPr>
          <w:rFonts w:ascii="Times New Roman" w:eastAsia="仿宋" w:hAnsi="Times New Roman" w:cs="Times New Roman"/>
          <w:bCs/>
          <w:sz w:val="24"/>
          <w:szCs w:val="24"/>
        </w:rPr>
        <w:t>PPI</w:t>
      </w:r>
      <w:r w:rsidR="006F57AF" w:rsidRPr="00505282">
        <w:rPr>
          <w:rFonts w:ascii="仿宋" w:eastAsia="仿宋" w:hAnsi="仿宋" w:cs="Times New Roman"/>
          <w:bCs/>
          <w:sz w:val="24"/>
          <w:szCs w:val="24"/>
        </w:rPr>
        <w:t>的安全性</w:t>
      </w:r>
    </w:p>
    <w:p w:rsidR="007A5BD9" w:rsidRPr="00505282" w:rsidRDefault="006F57AF" w:rsidP="00703EA2">
      <w:pPr>
        <w:spacing w:after="0" w:line="276" w:lineRule="auto"/>
        <w:ind w:firstLineChars="200" w:firstLine="480"/>
        <w:jc w:val="both"/>
        <w:rPr>
          <w:rFonts w:ascii="Times New Roman" w:eastAsia="宋体" w:hAnsi="Times New Roman" w:cs="Times New Roman"/>
          <w:bCs/>
          <w:sz w:val="24"/>
          <w:szCs w:val="24"/>
        </w:rPr>
      </w:pPr>
      <w:r w:rsidRPr="00505282">
        <w:rPr>
          <w:rFonts w:ascii="Times New Roman" w:eastAsia="宋体" w:hAnsi="Times New Roman" w:cs="Times New Roman"/>
          <w:bCs/>
          <w:sz w:val="24"/>
          <w:szCs w:val="24"/>
        </w:rPr>
        <w:t>PPI</w:t>
      </w:r>
      <w:r w:rsidRPr="00505282">
        <w:rPr>
          <w:rFonts w:ascii="Times New Roman" w:eastAsia="宋体" w:hAnsi="Times New Roman" w:cs="Times New Roman"/>
          <w:bCs/>
          <w:sz w:val="24"/>
          <w:szCs w:val="24"/>
        </w:rPr>
        <w:t>常见的不良反应包括：头痛、胃肠道症状（腹泻、恶心、胃肠胀气、腹痛、便秘）、口干、关节痛、肌痛、肌无力、间质性肾炎、视力模糊、过敏症、全血细胞减少、血小板减少、粒细胞缺乏症、肝功能障碍等。</w:t>
      </w:r>
    </w:p>
    <w:p w:rsidR="007A5BD9" w:rsidRDefault="006F57AF" w:rsidP="00703EA2">
      <w:pPr>
        <w:spacing w:after="0" w:line="276" w:lineRule="auto"/>
        <w:ind w:firstLineChars="200" w:firstLine="480"/>
        <w:jc w:val="both"/>
        <w:rPr>
          <w:rFonts w:ascii="Times New Roman" w:eastAsia="宋体" w:hAnsi="Times New Roman" w:cs="Times New Roman"/>
          <w:bCs/>
          <w:sz w:val="24"/>
          <w:szCs w:val="24"/>
        </w:rPr>
      </w:pPr>
      <w:r w:rsidRPr="00505282">
        <w:rPr>
          <w:rFonts w:ascii="Times New Roman" w:eastAsia="宋体" w:hAnsi="Times New Roman" w:cs="Times New Roman"/>
          <w:bCs/>
          <w:sz w:val="24"/>
          <w:szCs w:val="24"/>
        </w:rPr>
        <w:lastRenderedPageBreak/>
        <w:t>长期使用</w:t>
      </w:r>
      <w:r w:rsidRPr="00505282">
        <w:rPr>
          <w:rFonts w:ascii="Times New Roman" w:eastAsia="宋体" w:hAnsi="Times New Roman" w:cs="Times New Roman"/>
          <w:bCs/>
          <w:sz w:val="24"/>
          <w:szCs w:val="24"/>
        </w:rPr>
        <w:t>PPI</w:t>
      </w:r>
      <w:r w:rsidRPr="00505282">
        <w:rPr>
          <w:rFonts w:ascii="Times New Roman" w:eastAsia="宋体" w:hAnsi="Times New Roman" w:cs="Times New Roman"/>
          <w:bCs/>
          <w:sz w:val="24"/>
          <w:szCs w:val="24"/>
        </w:rPr>
        <w:t>（通常定义为</w:t>
      </w:r>
      <w:r w:rsidRPr="00505282">
        <w:rPr>
          <w:rFonts w:ascii="Times New Roman" w:eastAsia="宋体" w:hAnsi="Times New Roman" w:cs="Times New Roman"/>
          <w:bCs/>
          <w:sz w:val="24"/>
          <w:szCs w:val="24"/>
        </w:rPr>
        <w:t xml:space="preserve"> 6</w:t>
      </w:r>
      <w:r w:rsidRPr="00505282">
        <w:rPr>
          <w:rFonts w:ascii="Times New Roman" w:eastAsia="宋体" w:hAnsi="Times New Roman" w:cs="Times New Roman"/>
          <w:bCs/>
          <w:sz w:val="24"/>
          <w:szCs w:val="24"/>
        </w:rPr>
        <w:t>个月以上），应警惕</w:t>
      </w:r>
      <w:r w:rsidRPr="00505282">
        <w:rPr>
          <w:rFonts w:ascii="Times New Roman" w:eastAsia="宋体" w:hAnsi="Times New Roman" w:cs="Times New Roman"/>
          <w:bCs/>
          <w:sz w:val="24"/>
          <w:szCs w:val="24"/>
        </w:rPr>
        <w:t>PPI</w:t>
      </w:r>
      <w:r w:rsidRPr="00505282">
        <w:rPr>
          <w:rFonts w:ascii="Times New Roman" w:eastAsia="宋体" w:hAnsi="Times New Roman" w:cs="Times New Roman"/>
          <w:bCs/>
          <w:sz w:val="24"/>
          <w:szCs w:val="24"/>
        </w:rPr>
        <w:t>可能相关的潜在不良影响，包括肾脏疾病、痴呆、骨折、心肌梗死、小肠细菌过度生长、</w:t>
      </w:r>
      <w:r w:rsidRPr="00505282">
        <w:rPr>
          <w:rFonts w:ascii="Times New Roman" w:eastAsia="宋体" w:hAnsi="Times New Roman" w:cs="Times New Roman"/>
          <w:sz w:val="24"/>
          <w:szCs w:val="24"/>
        </w:rPr>
        <w:t>自发性细菌性腹膜炎、</w:t>
      </w:r>
      <w:r w:rsidRPr="00505282">
        <w:rPr>
          <w:rFonts w:ascii="Times New Roman" w:eastAsia="宋体" w:hAnsi="Times New Roman" w:cs="Times New Roman"/>
          <w:bCs/>
          <w:sz w:val="24"/>
          <w:szCs w:val="24"/>
        </w:rPr>
        <w:t>萎缩性胃炎、低镁血症、</w:t>
      </w:r>
      <w:r w:rsidRPr="00505282">
        <w:rPr>
          <w:rFonts w:ascii="Times New Roman" w:eastAsia="宋体" w:hAnsi="Times New Roman" w:cs="Times New Roman"/>
          <w:sz w:val="24"/>
          <w:szCs w:val="24"/>
        </w:rPr>
        <w:t>艰难</w:t>
      </w:r>
      <w:r w:rsidRPr="00505282">
        <w:rPr>
          <w:rFonts w:ascii="Times New Roman" w:eastAsia="宋体" w:hAnsi="Times New Roman" w:cs="Times New Roman"/>
          <w:bCs/>
          <w:sz w:val="24"/>
          <w:szCs w:val="24"/>
        </w:rPr>
        <w:t>梭状芽孢杆菌感染、肺炎、维生素</w:t>
      </w:r>
      <w:r w:rsidRPr="00505282">
        <w:rPr>
          <w:rFonts w:ascii="Times New Roman" w:eastAsia="宋体" w:hAnsi="Times New Roman" w:cs="Times New Roman"/>
          <w:bCs/>
          <w:sz w:val="24"/>
          <w:szCs w:val="24"/>
        </w:rPr>
        <w:t>B</w:t>
      </w:r>
      <w:r w:rsidRPr="00505282">
        <w:rPr>
          <w:rFonts w:ascii="Times New Roman" w:eastAsia="宋体" w:hAnsi="Times New Roman" w:cs="Times New Roman"/>
          <w:bCs/>
          <w:sz w:val="24"/>
          <w:szCs w:val="24"/>
          <w:vertAlign w:val="subscript"/>
        </w:rPr>
        <w:t>12</w:t>
      </w:r>
      <w:r w:rsidRPr="00505282">
        <w:rPr>
          <w:rFonts w:ascii="Times New Roman" w:eastAsia="宋体" w:hAnsi="Times New Roman" w:cs="Times New Roman"/>
          <w:bCs/>
          <w:sz w:val="24"/>
          <w:szCs w:val="24"/>
        </w:rPr>
        <w:t>和铁吸收不良、肿瘤等。长期使用</w:t>
      </w:r>
      <w:r w:rsidRPr="00505282">
        <w:rPr>
          <w:rFonts w:ascii="Times New Roman" w:eastAsia="宋体" w:hAnsi="Times New Roman" w:cs="Times New Roman"/>
          <w:bCs/>
          <w:sz w:val="24"/>
          <w:szCs w:val="24"/>
        </w:rPr>
        <w:t>PPI</w:t>
      </w:r>
      <w:r w:rsidRPr="00505282">
        <w:rPr>
          <w:rFonts w:ascii="Times New Roman" w:eastAsia="宋体" w:hAnsi="Times New Roman" w:cs="Times New Roman"/>
          <w:bCs/>
          <w:sz w:val="24"/>
          <w:szCs w:val="24"/>
        </w:rPr>
        <w:t>，应采取处方精简原则，使用最低有效剂量，确保用药安全、有效、经济。</w:t>
      </w:r>
    </w:p>
    <w:p w:rsidR="00505282" w:rsidRPr="00505282" w:rsidRDefault="00505282" w:rsidP="003B008F">
      <w:pPr>
        <w:spacing w:before="240" w:after="0" w:line="276" w:lineRule="auto"/>
        <w:ind w:firstLineChars="200" w:firstLine="480"/>
        <w:jc w:val="both"/>
        <w:rPr>
          <w:rFonts w:ascii="Times New Roman" w:eastAsia="宋体" w:hAnsi="Times New Roman" w:cs="Times New Roman"/>
          <w:bCs/>
          <w:sz w:val="24"/>
          <w:szCs w:val="24"/>
        </w:rPr>
      </w:pPr>
    </w:p>
    <w:p w:rsidR="007A5BD9" w:rsidRPr="00505282" w:rsidRDefault="00505282" w:rsidP="00703EA2">
      <w:pPr>
        <w:spacing w:after="0"/>
        <w:jc w:val="both"/>
        <w:rPr>
          <w:rFonts w:ascii="黑体" w:eastAsia="黑体" w:hAnsi="黑体" w:cs="宋体"/>
          <w:sz w:val="24"/>
          <w:szCs w:val="24"/>
        </w:rPr>
      </w:pPr>
      <w:r w:rsidRPr="00505282">
        <w:rPr>
          <w:rFonts w:ascii="黑体" w:eastAsia="黑体" w:hAnsi="黑体" w:cs="宋体" w:hint="eastAsia"/>
          <w:sz w:val="24"/>
          <w:szCs w:val="24"/>
        </w:rPr>
        <w:t xml:space="preserve">4.5   </w:t>
      </w:r>
      <w:r w:rsidR="006F57AF" w:rsidRPr="00505282">
        <w:rPr>
          <w:rFonts w:ascii="Times New Roman" w:eastAsia="仿宋" w:hAnsi="Times New Roman" w:cs="Times New Roman"/>
          <w:sz w:val="24"/>
          <w:szCs w:val="24"/>
        </w:rPr>
        <w:t>特殊人群用药</w:t>
      </w:r>
      <w:r w:rsidR="000158BC">
        <w:rPr>
          <w:rFonts w:ascii="Times New Roman" w:eastAsia="仿宋" w:hAnsi="Times New Roman" w:cs="Times New Roman" w:hint="eastAsia"/>
          <w:sz w:val="24"/>
          <w:szCs w:val="24"/>
        </w:rPr>
        <w:t>（表</w:t>
      </w:r>
      <w:r w:rsidR="000158BC">
        <w:rPr>
          <w:rFonts w:ascii="Times New Roman" w:eastAsia="仿宋" w:hAnsi="Times New Roman" w:cs="Times New Roman" w:hint="eastAsia"/>
          <w:sz w:val="24"/>
          <w:szCs w:val="24"/>
        </w:rPr>
        <w:t>8</w:t>
      </w:r>
      <w:r w:rsidR="000158BC">
        <w:rPr>
          <w:rFonts w:ascii="Times New Roman" w:eastAsia="仿宋" w:hAnsi="Times New Roman" w:cs="Times New Roman" w:hint="eastAsia"/>
          <w:sz w:val="24"/>
          <w:szCs w:val="24"/>
        </w:rPr>
        <w:t>）</w:t>
      </w:r>
    </w:p>
    <w:p w:rsidR="007A5BD9" w:rsidRPr="00505282" w:rsidRDefault="00505282" w:rsidP="00703EA2">
      <w:pPr>
        <w:spacing w:after="0" w:line="276" w:lineRule="auto"/>
        <w:jc w:val="both"/>
        <w:rPr>
          <w:rFonts w:ascii="Times New Roman" w:eastAsia="宋体" w:hAnsi="Times New Roman" w:cs="Times New Roman"/>
          <w:bCs/>
          <w:sz w:val="24"/>
          <w:szCs w:val="24"/>
        </w:rPr>
      </w:pPr>
      <w:r w:rsidRPr="00505282">
        <w:rPr>
          <w:rFonts w:ascii="黑体" w:eastAsia="黑体" w:hAnsi="黑体" w:cs="宋体" w:hint="eastAsia"/>
          <w:sz w:val="24"/>
          <w:szCs w:val="24"/>
        </w:rPr>
        <w:t>4.5.1</w:t>
      </w:r>
      <w:r>
        <w:rPr>
          <w:rFonts w:ascii="黑体" w:eastAsia="黑体" w:hAnsi="黑体" w:cs="宋体" w:hint="eastAsia"/>
          <w:sz w:val="24"/>
          <w:szCs w:val="24"/>
        </w:rPr>
        <w:t xml:space="preserve">  </w:t>
      </w:r>
      <w:r w:rsidR="006F57AF" w:rsidRPr="00505282">
        <w:rPr>
          <w:rFonts w:ascii="Times New Roman" w:eastAsia="宋体" w:hAnsi="Times New Roman" w:cs="Times New Roman"/>
          <w:sz w:val="24"/>
          <w:szCs w:val="24"/>
        </w:rPr>
        <w:t>肝、肾功能减退患者</w:t>
      </w:r>
      <w:r>
        <w:rPr>
          <w:rFonts w:ascii="黑体" w:eastAsia="黑体" w:hAnsi="黑体" w:cs="Times New Roman" w:hint="eastAsia"/>
          <w:sz w:val="24"/>
          <w:szCs w:val="24"/>
        </w:rPr>
        <w:t xml:space="preserve">  </w:t>
      </w:r>
      <w:r w:rsidRPr="00505282">
        <w:rPr>
          <w:rFonts w:ascii="Times New Roman" w:eastAsia="宋体" w:hAnsi="Times New Roman" w:cs="Times New Roman"/>
          <w:bCs/>
          <w:sz w:val="24"/>
          <w:szCs w:val="24"/>
        </w:rPr>
        <w:t xml:space="preserve"> </w:t>
      </w:r>
      <w:r w:rsidR="006F57AF" w:rsidRPr="00505282">
        <w:rPr>
          <w:rFonts w:ascii="Times New Roman" w:eastAsia="宋体" w:hAnsi="Times New Roman" w:cs="Times New Roman"/>
          <w:bCs/>
          <w:sz w:val="24"/>
          <w:szCs w:val="24"/>
        </w:rPr>
        <w:t>PPI</w:t>
      </w:r>
      <w:r w:rsidR="006F57AF" w:rsidRPr="00505282">
        <w:rPr>
          <w:rFonts w:ascii="Times New Roman" w:eastAsia="宋体" w:hAnsi="Times New Roman" w:cs="Times New Roman"/>
          <w:bCs/>
          <w:sz w:val="24"/>
          <w:szCs w:val="24"/>
        </w:rPr>
        <w:t>在人体内主要经肝脏代谢，经肾脏排泄。在肝、肾功能减退时，</w:t>
      </w:r>
      <w:r w:rsidR="006F57AF" w:rsidRPr="00505282">
        <w:rPr>
          <w:rFonts w:ascii="Times New Roman" w:eastAsia="宋体" w:hAnsi="Times New Roman" w:cs="Times New Roman"/>
          <w:bCs/>
          <w:sz w:val="24"/>
          <w:szCs w:val="24"/>
        </w:rPr>
        <w:t>PPI</w:t>
      </w:r>
      <w:r w:rsidR="006F57AF" w:rsidRPr="00505282">
        <w:rPr>
          <w:rFonts w:ascii="Times New Roman" w:eastAsia="宋体" w:hAnsi="Times New Roman" w:cs="Times New Roman"/>
          <w:bCs/>
          <w:sz w:val="24"/>
          <w:szCs w:val="24"/>
        </w:rPr>
        <w:t>的选用及剂量调整需要考虑肝、肾功能减退时对药物在体内代谢、排泄的影响程度，按照说明书选择合适的</w:t>
      </w:r>
      <w:r w:rsidR="006F57AF" w:rsidRPr="00505282">
        <w:rPr>
          <w:rFonts w:ascii="Times New Roman" w:eastAsia="宋体" w:hAnsi="Times New Roman" w:cs="Times New Roman"/>
          <w:bCs/>
          <w:sz w:val="24"/>
          <w:szCs w:val="24"/>
        </w:rPr>
        <w:t>PPI</w:t>
      </w:r>
      <w:r w:rsidR="006F57AF" w:rsidRPr="00505282">
        <w:rPr>
          <w:rFonts w:ascii="Times New Roman" w:eastAsia="宋体" w:hAnsi="Times New Roman" w:cs="Times New Roman"/>
          <w:bCs/>
          <w:sz w:val="24"/>
          <w:szCs w:val="24"/>
        </w:rPr>
        <w:t>。</w:t>
      </w:r>
    </w:p>
    <w:p w:rsidR="007A5BD9" w:rsidRPr="00505282" w:rsidRDefault="00505282" w:rsidP="00703EA2">
      <w:pPr>
        <w:spacing w:after="0" w:line="276" w:lineRule="auto"/>
        <w:jc w:val="both"/>
        <w:rPr>
          <w:rFonts w:ascii="Times New Roman" w:eastAsia="宋体" w:hAnsi="Times New Roman" w:cs="Times New Roman"/>
          <w:bCs/>
          <w:sz w:val="24"/>
          <w:szCs w:val="24"/>
        </w:rPr>
      </w:pPr>
      <w:r w:rsidRPr="00505282">
        <w:rPr>
          <w:rFonts w:ascii="黑体" w:eastAsia="黑体" w:hAnsi="黑体" w:cs="宋体" w:hint="eastAsia"/>
          <w:sz w:val="24"/>
          <w:szCs w:val="24"/>
        </w:rPr>
        <w:t>4.5.2</w:t>
      </w:r>
      <w:r>
        <w:rPr>
          <w:rFonts w:ascii="黑体" w:eastAsia="黑体" w:hAnsi="黑体" w:cs="宋体" w:hint="eastAsia"/>
          <w:sz w:val="24"/>
          <w:szCs w:val="24"/>
        </w:rPr>
        <w:t xml:space="preserve">  </w:t>
      </w:r>
      <w:r w:rsidR="006F57AF" w:rsidRPr="00505282">
        <w:rPr>
          <w:rFonts w:ascii="Times New Roman" w:eastAsia="宋体" w:hAnsi="Times New Roman" w:cs="Times New Roman"/>
          <w:sz w:val="24"/>
          <w:szCs w:val="24"/>
        </w:rPr>
        <w:t>老年患者</w:t>
      </w:r>
      <w:r>
        <w:rPr>
          <w:rFonts w:ascii="黑体" w:eastAsia="黑体" w:hAnsi="黑体" w:cs="Times New Roman" w:hint="eastAsia"/>
          <w:sz w:val="24"/>
          <w:szCs w:val="24"/>
        </w:rPr>
        <w:t xml:space="preserve">  </w:t>
      </w:r>
      <w:r w:rsidR="006F57AF" w:rsidRPr="00505282">
        <w:rPr>
          <w:rFonts w:ascii="Times New Roman" w:eastAsia="宋体" w:hAnsi="Times New Roman" w:cs="Times New Roman"/>
          <w:bCs/>
          <w:sz w:val="24"/>
          <w:szCs w:val="24"/>
        </w:rPr>
        <w:t>老年人胃内酸度与青年人类似，酸相关性疾病可以用</w:t>
      </w:r>
      <w:r w:rsidR="006F57AF" w:rsidRPr="00505282">
        <w:rPr>
          <w:rFonts w:ascii="Times New Roman" w:eastAsia="宋体" w:hAnsi="Times New Roman" w:cs="Times New Roman"/>
          <w:bCs/>
          <w:sz w:val="24"/>
          <w:szCs w:val="24"/>
        </w:rPr>
        <w:t>PPI</w:t>
      </w:r>
      <w:r w:rsidR="006F57AF" w:rsidRPr="00505282">
        <w:rPr>
          <w:rFonts w:ascii="Times New Roman" w:eastAsia="宋体" w:hAnsi="Times New Roman" w:cs="Times New Roman"/>
          <w:bCs/>
          <w:sz w:val="24"/>
          <w:szCs w:val="24"/>
        </w:rPr>
        <w:t>治疗。一般情况下，老年人肾功能不全和轻中度肝功能不全者的</w:t>
      </w:r>
      <w:r w:rsidR="006F57AF" w:rsidRPr="00505282">
        <w:rPr>
          <w:rFonts w:ascii="Times New Roman" w:eastAsia="宋体" w:hAnsi="Times New Roman" w:cs="Times New Roman"/>
          <w:bCs/>
          <w:sz w:val="24"/>
          <w:szCs w:val="24"/>
        </w:rPr>
        <w:t>PPI</w:t>
      </w:r>
      <w:r w:rsidR="006F57AF" w:rsidRPr="00505282">
        <w:rPr>
          <w:rFonts w:ascii="Times New Roman" w:eastAsia="宋体" w:hAnsi="Times New Roman" w:cs="Times New Roman"/>
          <w:bCs/>
          <w:sz w:val="24"/>
          <w:szCs w:val="24"/>
        </w:rPr>
        <w:t>药代动力学与青年人相似，无需调整剂量。但由于老年患者的用药特点，应在处方时候尽量考虑低剂量，短疗程的治疗方式。</w:t>
      </w:r>
    </w:p>
    <w:p w:rsidR="007A5BD9" w:rsidRPr="00505282" w:rsidRDefault="00505282" w:rsidP="00703EA2">
      <w:pPr>
        <w:spacing w:after="0" w:line="276" w:lineRule="auto"/>
        <w:jc w:val="both"/>
        <w:rPr>
          <w:rFonts w:ascii="宋体" w:eastAsia="宋体" w:hAnsi="宋体" w:cs="宋体"/>
          <w:bCs/>
          <w:sz w:val="24"/>
          <w:szCs w:val="24"/>
        </w:rPr>
      </w:pPr>
      <w:r w:rsidRPr="00505282">
        <w:rPr>
          <w:rFonts w:ascii="黑体" w:eastAsia="黑体" w:hAnsi="黑体" w:cs="宋体" w:hint="eastAsia"/>
          <w:sz w:val="24"/>
          <w:szCs w:val="24"/>
        </w:rPr>
        <w:t>4.5.3</w:t>
      </w:r>
      <w:r>
        <w:rPr>
          <w:rFonts w:ascii="黑体" w:eastAsia="黑体" w:hAnsi="黑体" w:cs="宋体" w:hint="eastAsia"/>
          <w:sz w:val="24"/>
          <w:szCs w:val="24"/>
        </w:rPr>
        <w:t xml:space="preserve"> </w:t>
      </w:r>
      <w:r w:rsidRPr="00505282">
        <w:rPr>
          <w:rFonts w:ascii="Times New Roman" w:eastAsia="黑体" w:hAnsi="Times New Roman" w:cs="Times New Roman"/>
          <w:sz w:val="24"/>
          <w:szCs w:val="24"/>
        </w:rPr>
        <w:t xml:space="preserve"> </w:t>
      </w:r>
      <w:r w:rsidR="006F57AF" w:rsidRPr="00505282">
        <w:rPr>
          <w:rFonts w:ascii="Times New Roman" w:eastAsia="宋体" w:hAnsi="Times New Roman" w:cs="Times New Roman"/>
          <w:sz w:val="24"/>
          <w:szCs w:val="24"/>
        </w:rPr>
        <w:t>儿童患者</w:t>
      </w:r>
      <w:r>
        <w:rPr>
          <w:rFonts w:ascii="黑体" w:eastAsia="黑体" w:hAnsi="黑体" w:cs="Times New Roman" w:hint="eastAsia"/>
          <w:sz w:val="24"/>
          <w:szCs w:val="24"/>
        </w:rPr>
        <w:t xml:space="preserve">  </w:t>
      </w:r>
      <w:r w:rsidR="006F57AF" w:rsidRPr="00505282">
        <w:rPr>
          <w:rFonts w:ascii="Times New Roman" w:eastAsia="宋体" w:hAnsi="Times New Roman" w:cs="Times New Roman"/>
          <w:bCs/>
          <w:sz w:val="24"/>
          <w:szCs w:val="24"/>
        </w:rPr>
        <w:t>目前</w:t>
      </w:r>
      <w:r w:rsidR="006F57AF" w:rsidRPr="00505282">
        <w:rPr>
          <w:rFonts w:ascii="Times New Roman" w:eastAsia="宋体" w:hAnsi="Times New Roman" w:cs="Times New Roman"/>
          <w:bCs/>
          <w:sz w:val="24"/>
          <w:szCs w:val="24"/>
        </w:rPr>
        <w:t>PPI</w:t>
      </w:r>
      <w:r w:rsidR="006F57AF" w:rsidRPr="00505282">
        <w:rPr>
          <w:rFonts w:ascii="Times New Roman" w:eastAsia="宋体" w:hAnsi="Times New Roman" w:cs="Times New Roman"/>
          <w:bCs/>
          <w:sz w:val="24"/>
          <w:szCs w:val="24"/>
        </w:rPr>
        <w:t>在中国均未获得儿童适应证。</w:t>
      </w:r>
      <w:r w:rsidR="006F57AF" w:rsidRPr="00505282">
        <w:rPr>
          <w:rFonts w:ascii="Times New Roman" w:eastAsia="宋体" w:hAnsi="Times New Roman" w:cs="Times New Roman"/>
          <w:bCs/>
          <w:sz w:val="24"/>
          <w:szCs w:val="24"/>
        </w:rPr>
        <w:t>FDA</w:t>
      </w:r>
      <w:r w:rsidR="006F57AF" w:rsidRPr="00505282">
        <w:rPr>
          <w:rFonts w:ascii="Times New Roman" w:eastAsia="宋体" w:hAnsi="Times New Roman" w:cs="Times New Roman"/>
          <w:bCs/>
          <w:sz w:val="24"/>
          <w:szCs w:val="24"/>
        </w:rPr>
        <w:t>已批准奥美拉</w:t>
      </w:r>
      <w:proofErr w:type="gramStart"/>
      <w:r w:rsidR="006F57AF" w:rsidRPr="00505282">
        <w:rPr>
          <w:rFonts w:ascii="Times New Roman" w:eastAsia="宋体" w:hAnsi="Times New Roman" w:cs="Times New Roman"/>
          <w:bCs/>
          <w:sz w:val="24"/>
          <w:szCs w:val="24"/>
        </w:rPr>
        <w:t>唑</w:t>
      </w:r>
      <w:proofErr w:type="gramEnd"/>
      <w:r w:rsidR="006F57AF" w:rsidRPr="00505282">
        <w:rPr>
          <w:rFonts w:ascii="Times New Roman" w:eastAsia="宋体" w:hAnsi="Times New Roman" w:cs="Times New Roman"/>
          <w:bCs/>
          <w:sz w:val="24"/>
          <w:szCs w:val="24"/>
        </w:rPr>
        <w:t>和艾司奥美拉</w:t>
      </w:r>
      <w:proofErr w:type="gramStart"/>
      <w:r w:rsidR="006F57AF" w:rsidRPr="00505282">
        <w:rPr>
          <w:rFonts w:ascii="Times New Roman" w:eastAsia="宋体" w:hAnsi="Times New Roman" w:cs="Times New Roman"/>
          <w:bCs/>
          <w:sz w:val="24"/>
          <w:szCs w:val="24"/>
        </w:rPr>
        <w:t>唑</w:t>
      </w:r>
      <w:proofErr w:type="gramEnd"/>
      <w:r w:rsidR="006F57AF" w:rsidRPr="00505282">
        <w:rPr>
          <w:rFonts w:ascii="Times New Roman" w:eastAsia="宋体" w:hAnsi="Times New Roman" w:cs="Times New Roman"/>
          <w:bCs/>
          <w:sz w:val="24"/>
          <w:szCs w:val="24"/>
        </w:rPr>
        <w:t>用于</w:t>
      </w:r>
      <w:r w:rsidR="006F57AF" w:rsidRPr="00505282">
        <w:rPr>
          <w:rFonts w:ascii="Times New Roman" w:eastAsia="宋体" w:hAnsi="Times New Roman" w:cs="Times New Roman"/>
          <w:bCs/>
          <w:sz w:val="24"/>
          <w:szCs w:val="24"/>
        </w:rPr>
        <w:t>1</w:t>
      </w:r>
      <w:r w:rsidR="006F57AF" w:rsidRPr="00505282">
        <w:rPr>
          <w:rFonts w:ascii="Times New Roman" w:eastAsia="宋体" w:hAnsi="Times New Roman" w:cs="Times New Roman"/>
          <w:bCs/>
          <w:sz w:val="24"/>
          <w:szCs w:val="24"/>
        </w:rPr>
        <w:t>月以上婴幼儿，兰索拉</w:t>
      </w:r>
      <w:proofErr w:type="gramStart"/>
      <w:r w:rsidR="006F57AF" w:rsidRPr="00505282">
        <w:rPr>
          <w:rFonts w:ascii="Times New Roman" w:eastAsia="宋体" w:hAnsi="Times New Roman" w:cs="Times New Roman"/>
          <w:bCs/>
          <w:sz w:val="24"/>
          <w:szCs w:val="24"/>
        </w:rPr>
        <w:t>唑</w:t>
      </w:r>
      <w:proofErr w:type="gramEnd"/>
      <w:r w:rsidR="006F57AF" w:rsidRPr="00505282">
        <w:rPr>
          <w:rFonts w:ascii="Times New Roman" w:eastAsia="宋体" w:hAnsi="Times New Roman" w:cs="Times New Roman"/>
          <w:bCs/>
          <w:sz w:val="24"/>
          <w:szCs w:val="24"/>
        </w:rPr>
        <w:t>用于</w:t>
      </w:r>
      <w:r w:rsidR="006F57AF" w:rsidRPr="00505282">
        <w:rPr>
          <w:rFonts w:ascii="Times New Roman" w:eastAsia="宋体" w:hAnsi="Times New Roman" w:cs="Times New Roman"/>
          <w:bCs/>
          <w:sz w:val="24"/>
          <w:szCs w:val="24"/>
        </w:rPr>
        <w:t>1</w:t>
      </w:r>
      <w:r w:rsidR="006F57AF" w:rsidRPr="00505282">
        <w:rPr>
          <w:rFonts w:ascii="Times New Roman" w:eastAsia="宋体" w:hAnsi="Times New Roman" w:cs="Times New Roman"/>
          <w:bCs/>
          <w:sz w:val="24"/>
          <w:szCs w:val="24"/>
        </w:rPr>
        <w:t>岁以上儿童，</w:t>
      </w:r>
      <w:proofErr w:type="gramStart"/>
      <w:r w:rsidR="006F57AF" w:rsidRPr="00505282">
        <w:rPr>
          <w:rFonts w:ascii="Times New Roman" w:eastAsia="宋体" w:hAnsi="Times New Roman" w:cs="Times New Roman"/>
          <w:bCs/>
          <w:sz w:val="24"/>
          <w:szCs w:val="24"/>
        </w:rPr>
        <w:t>泮</w:t>
      </w:r>
      <w:proofErr w:type="gramEnd"/>
      <w:r w:rsidR="006F57AF" w:rsidRPr="00505282">
        <w:rPr>
          <w:rFonts w:ascii="Times New Roman" w:eastAsia="宋体" w:hAnsi="Times New Roman" w:cs="Times New Roman"/>
          <w:bCs/>
          <w:sz w:val="24"/>
          <w:szCs w:val="24"/>
        </w:rPr>
        <w:t>托拉</w:t>
      </w:r>
      <w:proofErr w:type="gramStart"/>
      <w:r w:rsidR="006F57AF" w:rsidRPr="00505282">
        <w:rPr>
          <w:rFonts w:ascii="Times New Roman" w:eastAsia="宋体" w:hAnsi="Times New Roman" w:cs="Times New Roman"/>
          <w:bCs/>
          <w:sz w:val="24"/>
          <w:szCs w:val="24"/>
        </w:rPr>
        <w:t>唑</w:t>
      </w:r>
      <w:proofErr w:type="gramEnd"/>
      <w:r w:rsidR="006F57AF" w:rsidRPr="00505282">
        <w:rPr>
          <w:rFonts w:ascii="Times New Roman" w:eastAsia="宋体" w:hAnsi="Times New Roman" w:cs="Times New Roman"/>
          <w:bCs/>
          <w:sz w:val="24"/>
          <w:szCs w:val="24"/>
        </w:rPr>
        <w:t>可用于</w:t>
      </w:r>
      <w:r w:rsidR="006F57AF" w:rsidRPr="00505282">
        <w:rPr>
          <w:rFonts w:ascii="Times New Roman" w:eastAsia="宋体" w:hAnsi="Times New Roman" w:cs="Times New Roman"/>
          <w:bCs/>
          <w:sz w:val="24"/>
          <w:szCs w:val="24"/>
        </w:rPr>
        <w:t>5</w:t>
      </w:r>
      <w:r w:rsidR="006F57AF" w:rsidRPr="00505282">
        <w:rPr>
          <w:rFonts w:ascii="Times New Roman" w:eastAsia="宋体" w:hAnsi="Times New Roman" w:cs="Times New Roman"/>
          <w:bCs/>
          <w:sz w:val="24"/>
          <w:szCs w:val="24"/>
        </w:rPr>
        <w:t>岁以上儿童，但适应证仅限于小儿胃食管反流病和幽门螺杆</w:t>
      </w:r>
      <w:proofErr w:type="gramStart"/>
      <w:r w:rsidR="006F57AF" w:rsidRPr="00505282">
        <w:rPr>
          <w:rFonts w:ascii="Times New Roman" w:eastAsia="宋体" w:hAnsi="Times New Roman" w:cs="Times New Roman"/>
          <w:bCs/>
          <w:sz w:val="24"/>
          <w:szCs w:val="24"/>
        </w:rPr>
        <w:t>菌</w:t>
      </w:r>
      <w:proofErr w:type="gramEnd"/>
      <w:r w:rsidR="006F57AF" w:rsidRPr="00505282">
        <w:rPr>
          <w:rFonts w:ascii="Times New Roman" w:eastAsia="宋体" w:hAnsi="Times New Roman" w:cs="Times New Roman"/>
          <w:bCs/>
          <w:sz w:val="24"/>
          <w:szCs w:val="24"/>
        </w:rPr>
        <w:t>感染的治疗，需根据体重计算儿童用药剂量。</w:t>
      </w:r>
    </w:p>
    <w:p w:rsidR="007A5BD9" w:rsidRDefault="006F57AF" w:rsidP="00703EA2">
      <w:pPr>
        <w:spacing w:after="0" w:line="276" w:lineRule="auto"/>
        <w:jc w:val="both"/>
        <w:rPr>
          <w:rFonts w:ascii="Times New Roman" w:eastAsia="宋体" w:hAnsi="Times New Roman" w:cs="Times New Roman"/>
          <w:bCs/>
          <w:sz w:val="24"/>
          <w:szCs w:val="24"/>
        </w:rPr>
      </w:pPr>
      <w:r w:rsidRPr="00505282">
        <w:rPr>
          <w:rFonts w:ascii="黑体" w:eastAsia="黑体" w:hAnsi="黑体" w:cs="宋体"/>
          <w:sz w:val="24"/>
          <w:szCs w:val="24"/>
        </w:rPr>
        <w:t>4.</w:t>
      </w:r>
      <w:r w:rsidR="00505282" w:rsidRPr="00505282">
        <w:rPr>
          <w:rFonts w:ascii="黑体" w:eastAsia="黑体" w:hAnsi="黑体" w:cs="宋体" w:hint="eastAsia"/>
          <w:sz w:val="24"/>
          <w:szCs w:val="24"/>
        </w:rPr>
        <w:t>5.4</w:t>
      </w:r>
      <w:r w:rsidR="00505282">
        <w:rPr>
          <w:rFonts w:ascii="黑体" w:eastAsia="黑体" w:hAnsi="黑体" w:cs="宋体" w:hint="eastAsia"/>
          <w:sz w:val="24"/>
          <w:szCs w:val="24"/>
        </w:rPr>
        <w:t xml:space="preserve">  </w:t>
      </w:r>
      <w:r w:rsidRPr="00505282">
        <w:rPr>
          <w:rFonts w:ascii="Times New Roman" w:eastAsia="宋体" w:hAnsi="Times New Roman" w:cs="Times New Roman"/>
          <w:sz w:val="24"/>
          <w:szCs w:val="24"/>
        </w:rPr>
        <w:t>妊娠期和哺乳期患者</w:t>
      </w:r>
      <w:r w:rsidR="00505282">
        <w:rPr>
          <w:rFonts w:ascii="黑体" w:eastAsia="黑体" w:hAnsi="黑体" w:cs="Times New Roman" w:hint="eastAsia"/>
          <w:sz w:val="24"/>
          <w:szCs w:val="24"/>
        </w:rPr>
        <w:t xml:space="preserve">  </w:t>
      </w:r>
      <w:r w:rsidRPr="00505282">
        <w:rPr>
          <w:rFonts w:ascii="Times New Roman" w:eastAsia="宋体" w:hAnsi="Times New Roman" w:cs="Times New Roman"/>
          <w:bCs/>
          <w:sz w:val="24"/>
          <w:szCs w:val="24"/>
        </w:rPr>
        <w:t>PPI</w:t>
      </w:r>
      <w:r w:rsidRPr="00505282">
        <w:rPr>
          <w:rFonts w:ascii="Times New Roman" w:eastAsia="宋体" w:hAnsi="Times New Roman" w:cs="Times New Roman"/>
          <w:bCs/>
          <w:sz w:val="24"/>
          <w:szCs w:val="24"/>
        </w:rPr>
        <w:t>用于妊娠妇女的临床资料有限，应充分评估患者的风险和获益。</w:t>
      </w:r>
      <w:r w:rsidRPr="00505282">
        <w:rPr>
          <w:rFonts w:ascii="Times New Roman" w:eastAsia="宋体" w:hAnsi="Times New Roman" w:cs="Times New Roman"/>
          <w:bCs/>
          <w:sz w:val="24"/>
          <w:szCs w:val="24"/>
        </w:rPr>
        <w:t>PPI</w:t>
      </w:r>
      <w:r w:rsidRPr="00505282">
        <w:rPr>
          <w:rFonts w:ascii="Times New Roman" w:eastAsia="宋体" w:hAnsi="Times New Roman" w:cs="Times New Roman"/>
          <w:bCs/>
          <w:sz w:val="24"/>
          <w:szCs w:val="24"/>
        </w:rPr>
        <w:t>可少量通过血乳屏障，在哺乳期不建议使用。</w:t>
      </w:r>
    </w:p>
    <w:p w:rsidR="00505282" w:rsidRPr="00505282" w:rsidRDefault="00505282" w:rsidP="00505282">
      <w:pPr>
        <w:spacing w:after="0" w:line="276" w:lineRule="auto"/>
        <w:rPr>
          <w:rFonts w:ascii="宋体" w:eastAsia="宋体" w:hAnsi="宋体" w:cs="宋体"/>
          <w:bCs/>
          <w:sz w:val="24"/>
          <w:szCs w:val="24"/>
        </w:rPr>
      </w:pPr>
    </w:p>
    <w:p w:rsidR="007A5BD9" w:rsidRPr="00505282" w:rsidRDefault="006F57AF" w:rsidP="00505282">
      <w:pPr>
        <w:spacing w:before="240"/>
        <w:ind w:firstLineChars="200" w:firstLine="480"/>
        <w:rPr>
          <w:rFonts w:ascii="黑体" w:eastAsia="黑体" w:hAnsi="黑体" w:cs="宋体"/>
          <w:bCs/>
          <w:sz w:val="24"/>
          <w:szCs w:val="24"/>
        </w:rPr>
      </w:pPr>
      <w:r w:rsidRPr="00505282">
        <w:rPr>
          <w:rFonts w:ascii="黑体" w:eastAsia="黑体" w:hAnsi="黑体" w:cs="宋体" w:hint="eastAsia"/>
          <w:bCs/>
          <w:sz w:val="24"/>
          <w:szCs w:val="24"/>
        </w:rPr>
        <w:t xml:space="preserve">表8 </w:t>
      </w:r>
      <w:r w:rsidRPr="00505282">
        <w:rPr>
          <w:rFonts w:ascii="黑体" w:eastAsia="黑体" w:hAnsi="黑体" w:cs="宋体"/>
          <w:bCs/>
          <w:sz w:val="24"/>
          <w:szCs w:val="24"/>
        </w:rPr>
        <w:t xml:space="preserve"> </w:t>
      </w:r>
      <w:r w:rsidRPr="00505282">
        <w:rPr>
          <w:rFonts w:ascii="Times New Roman" w:eastAsia="黑体" w:hAnsi="Times New Roman" w:cs="Times New Roman"/>
          <w:bCs/>
          <w:sz w:val="24"/>
          <w:szCs w:val="24"/>
        </w:rPr>
        <w:t>PPI</w:t>
      </w:r>
      <w:r w:rsidRPr="00505282">
        <w:rPr>
          <w:rFonts w:ascii="黑体" w:eastAsia="黑体" w:hAnsi="黑体" w:cs="宋体" w:hint="eastAsia"/>
          <w:bCs/>
          <w:sz w:val="24"/>
          <w:szCs w:val="24"/>
        </w:rPr>
        <w:t>在特殊人群中的应用</w:t>
      </w:r>
      <w:r w:rsidRPr="00505282">
        <w:rPr>
          <w:rFonts w:ascii="黑体" w:eastAsia="黑体" w:hAnsi="黑体" w:cs="宋体"/>
          <w:bCs/>
          <w:sz w:val="24"/>
          <w:szCs w:val="24"/>
        </w:rPr>
        <w:t xml:space="preserve"> </w:t>
      </w:r>
    </w:p>
    <w:tbl>
      <w:tblPr>
        <w:tblW w:w="5071" w:type="pct"/>
        <w:tblLook w:val="04A0" w:firstRow="1" w:lastRow="0" w:firstColumn="1" w:lastColumn="0" w:noHBand="0" w:noVBand="1"/>
      </w:tblPr>
      <w:tblGrid>
        <w:gridCol w:w="818"/>
        <w:gridCol w:w="1089"/>
        <w:gridCol w:w="802"/>
        <w:gridCol w:w="569"/>
        <w:gridCol w:w="571"/>
        <w:gridCol w:w="887"/>
        <w:gridCol w:w="802"/>
        <w:gridCol w:w="1076"/>
        <w:gridCol w:w="631"/>
        <w:gridCol w:w="574"/>
        <w:gridCol w:w="574"/>
        <w:gridCol w:w="516"/>
        <w:gridCol w:w="509"/>
      </w:tblGrid>
      <w:tr w:rsidR="007A5BD9" w:rsidRPr="004306C4" w:rsidTr="00295763">
        <w:trPr>
          <w:trHeight w:val="880"/>
        </w:trPr>
        <w:tc>
          <w:tcPr>
            <w:tcW w:w="434" w:type="pct"/>
            <w:vMerge w:val="restart"/>
            <w:tcBorders>
              <w:top w:val="single" w:sz="4" w:space="0" w:color="auto"/>
              <w:left w:val="nil"/>
              <w:bottom w:val="dashed" w:sz="2" w:space="0" w:color="auto"/>
              <w:right w:val="dashed" w:sz="2" w:space="0" w:color="auto"/>
            </w:tcBorders>
            <w:shd w:val="clear" w:color="auto" w:fill="auto"/>
            <w:vAlign w:val="center"/>
          </w:tcPr>
          <w:p w:rsidR="007A5BD9" w:rsidRPr="004306C4" w:rsidRDefault="006F57AF">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特殊人群</w:t>
            </w:r>
          </w:p>
        </w:tc>
        <w:tc>
          <w:tcPr>
            <w:tcW w:w="1003" w:type="pct"/>
            <w:gridSpan w:val="2"/>
            <w:tcBorders>
              <w:top w:val="single" w:sz="4" w:space="0" w:color="auto"/>
              <w:left w:val="dashed" w:sz="2" w:space="0" w:color="auto"/>
              <w:bottom w:val="single" w:sz="4" w:space="0" w:color="auto"/>
              <w:right w:val="dashed" w:sz="2" w:space="0" w:color="auto"/>
            </w:tcBorders>
            <w:shd w:val="clear" w:color="auto" w:fill="auto"/>
            <w:vAlign w:val="center"/>
          </w:tcPr>
          <w:p w:rsidR="007A5BD9" w:rsidRPr="004306C4" w:rsidRDefault="006F57AF">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奥美拉</w:t>
            </w:r>
            <w:proofErr w:type="gramStart"/>
            <w:r w:rsidRPr="004306C4">
              <w:rPr>
                <w:rFonts w:ascii="Times New Roman" w:eastAsia="宋体" w:hAnsi="Times New Roman" w:cs="Times New Roman"/>
                <w:b/>
                <w:bCs/>
                <w:color w:val="000000" w:themeColor="text1"/>
                <w:sz w:val="24"/>
                <w:szCs w:val="24"/>
              </w:rPr>
              <w:t>唑</w:t>
            </w:r>
            <w:proofErr w:type="gramEnd"/>
          </w:p>
        </w:tc>
        <w:tc>
          <w:tcPr>
            <w:tcW w:w="605" w:type="pct"/>
            <w:gridSpan w:val="2"/>
            <w:tcBorders>
              <w:top w:val="single" w:sz="4" w:space="0" w:color="auto"/>
              <w:left w:val="dashed" w:sz="2" w:space="0" w:color="auto"/>
              <w:bottom w:val="single" w:sz="4" w:space="0" w:color="auto"/>
              <w:right w:val="dashed" w:sz="2" w:space="0" w:color="auto"/>
            </w:tcBorders>
            <w:shd w:val="clear" w:color="auto" w:fill="auto"/>
            <w:vAlign w:val="center"/>
          </w:tcPr>
          <w:p w:rsidR="007A5BD9" w:rsidRPr="004306C4" w:rsidRDefault="006F57AF">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艾司奥美拉</w:t>
            </w:r>
            <w:proofErr w:type="gramStart"/>
            <w:r w:rsidRPr="004306C4">
              <w:rPr>
                <w:rFonts w:ascii="Times New Roman" w:eastAsia="宋体" w:hAnsi="Times New Roman" w:cs="Times New Roman"/>
                <w:b/>
                <w:bCs/>
                <w:color w:val="000000" w:themeColor="text1"/>
                <w:sz w:val="24"/>
                <w:szCs w:val="24"/>
              </w:rPr>
              <w:t>唑</w:t>
            </w:r>
            <w:proofErr w:type="gramEnd"/>
          </w:p>
        </w:tc>
        <w:tc>
          <w:tcPr>
            <w:tcW w:w="897" w:type="pct"/>
            <w:gridSpan w:val="2"/>
            <w:tcBorders>
              <w:top w:val="single" w:sz="4" w:space="0" w:color="auto"/>
              <w:left w:val="dashed" w:sz="2" w:space="0" w:color="auto"/>
              <w:bottom w:val="single" w:sz="4" w:space="0" w:color="auto"/>
              <w:right w:val="dashed" w:sz="2" w:space="0" w:color="auto"/>
            </w:tcBorders>
            <w:shd w:val="clear" w:color="auto" w:fill="auto"/>
            <w:vAlign w:val="center"/>
          </w:tcPr>
          <w:p w:rsidR="007A5BD9" w:rsidRPr="004306C4" w:rsidRDefault="006F57AF">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兰索拉</w:t>
            </w:r>
            <w:proofErr w:type="gramStart"/>
            <w:r w:rsidRPr="004306C4">
              <w:rPr>
                <w:rFonts w:ascii="Times New Roman" w:eastAsia="宋体" w:hAnsi="Times New Roman" w:cs="Times New Roman"/>
                <w:b/>
                <w:bCs/>
                <w:color w:val="000000" w:themeColor="text1"/>
                <w:sz w:val="24"/>
                <w:szCs w:val="24"/>
              </w:rPr>
              <w:t>唑</w:t>
            </w:r>
            <w:proofErr w:type="gramEnd"/>
          </w:p>
        </w:tc>
        <w:tc>
          <w:tcPr>
            <w:tcW w:w="906" w:type="pct"/>
            <w:gridSpan w:val="2"/>
            <w:tcBorders>
              <w:top w:val="single" w:sz="4" w:space="0" w:color="auto"/>
              <w:left w:val="dashed" w:sz="2" w:space="0" w:color="auto"/>
              <w:bottom w:val="single" w:sz="4" w:space="0" w:color="auto"/>
              <w:right w:val="dashed" w:sz="2" w:space="0" w:color="auto"/>
            </w:tcBorders>
            <w:shd w:val="clear" w:color="auto" w:fill="auto"/>
            <w:vAlign w:val="center"/>
          </w:tcPr>
          <w:p w:rsidR="007A5BD9" w:rsidRPr="004306C4" w:rsidRDefault="006F57AF">
            <w:pPr>
              <w:rPr>
                <w:rFonts w:ascii="Times New Roman" w:eastAsia="宋体" w:hAnsi="Times New Roman" w:cs="Times New Roman"/>
                <w:b/>
                <w:bCs/>
                <w:color w:val="000000" w:themeColor="text1"/>
                <w:sz w:val="24"/>
                <w:szCs w:val="24"/>
              </w:rPr>
            </w:pPr>
            <w:proofErr w:type="gramStart"/>
            <w:r w:rsidRPr="004306C4">
              <w:rPr>
                <w:rFonts w:ascii="Times New Roman" w:eastAsia="宋体" w:hAnsi="Times New Roman" w:cs="Times New Roman"/>
                <w:b/>
                <w:bCs/>
                <w:color w:val="000000" w:themeColor="text1"/>
                <w:sz w:val="24"/>
                <w:szCs w:val="24"/>
              </w:rPr>
              <w:t>泮</w:t>
            </w:r>
            <w:proofErr w:type="gramEnd"/>
            <w:r w:rsidRPr="004306C4">
              <w:rPr>
                <w:rFonts w:ascii="Times New Roman" w:eastAsia="宋体" w:hAnsi="Times New Roman" w:cs="Times New Roman"/>
                <w:b/>
                <w:bCs/>
                <w:color w:val="000000" w:themeColor="text1"/>
                <w:sz w:val="24"/>
                <w:szCs w:val="24"/>
              </w:rPr>
              <w:t>托拉</w:t>
            </w:r>
            <w:proofErr w:type="gramStart"/>
            <w:r w:rsidRPr="004306C4">
              <w:rPr>
                <w:rFonts w:ascii="Times New Roman" w:eastAsia="宋体" w:hAnsi="Times New Roman" w:cs="Times New Roman"/>
                <w:b/>
                <w:bCs/>
                <w:color w:val="000000" w:themeColor="text1"/>
                <w:sz w:val="24"/>
                <w:szCs w:val="24"/>
              </w:rPr>
              <w:t>唑</w:t>
            </w:r>
            <w:proofErr w:type="gramEnd"/>
          </w:p>
        </w:tc>
        <w:tc>
          <w:tcPr>
            <w:tcW w:w="609" w:type="pct"/>
            <w:gridSpan w:val="2"/>
            <w:tcBorders>
              <w:top w:val="single" w:sz="4" w:space="0" w:color="auto"/>
              <w:left w:val="dashed" w:sz="2" w:space="0" w:color="auto"/>
              <w:bottom w:val="single" w:sz="4" w:space="0" w:color="auto"/>
              <w:right w:val="dashed" w:sz="2" w:space="0" w:color="auto"/>
            </w:tcBorders>
            <w:shd w:val="clear" w:color="auto" w:fill="auto"/>
            <w:vAlign w:val="center"/>
          </w:tcPr>
          <w:p w:rsidR="007A5BD9" w:rsidRPr="004306C4" w:rsidRDefault="006F57AF">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雷贝拉</w:t>
            </w:r>
            <w:proofErr w:type="gramStart"/>
            <w:r w:rsidRPr="004306C4">
              <w:rPr>
                <w:rFonts w:ascii="Times New Roman" w:eastAsia="宋体" w:hAnsi="Times New Roman" w:cs="Times New Roman"/>
                <w:b/>
                <w:bCs/>
                <w:color w:val="000000" w:themeColor="text1"/>
                <w:sz w:val="24"/>
                <w:szCs w:val="24"/>
              </w:rPr>
              <w:t>唑</w:t>
            </w:r>
            <w:proofErr w:type="gramEnd"/>
          </w:p>
        </w:tc>
        <w:tc>
          <w:tcPr>
            <w:tcW w:w="545" w:type="pct"/>
            <w:gridSpan w:val="2"/>
            <w:tcBorders>
              <w:top w:val="single" w:sz="4" w:space="0" w:color="auto"/>
              <w:left w:val="dashed" w:sz="2" w:space="0" w:color="auto"/>
              <w:bottom w:val="single" w:sz="4" w:space="0" w:color="auto"/>
            </w:tcBorders>
            <w:shd w:val="clear" w:color="auto" w:fill="auto"/>
            <w:vAlign w:val="center"/>
          </w:tcPr>
          <w:p w:rsidR="007A5BD9" w:rsidRPr="004306C4" w:rsidRDefault="006F57AF">
            <w:pPr>
              <w:rPr>
                <w:rFonts w:ascii="Times New Roman" w:eastAsia="宋体" w:hAnsi="Times New Roman" w:cs="Times New Roman"/>
                <w:b/>
                <w:bCs/>
                <w:color w:val="000000" w:themeColor="text1"/>
                <w:sz w:val="24"/>
                <w:szCs w:val="24"/>
              </w:rPr>
            </w:pPr>
            <w:bookmarkStart w:id="10" w:name="_Hlk526600377"/>
            <w:proofErr w:type="gramStart"/>
            <w:r w:rsidRPr="004306C4">
              <w:rPr>
                <w:rFonts w:ascii="Times New Roman" w:eastAsia="宋体" w:hAnsi="Times New Roman" w:cs="Times New Roman"/>
                <w:b/>
                <w:bCs/>
                <w:color w:val="000000" w:themeColor="text1"/>
                <w:sz w:val="24"/>
                <w:szCs w:val="24"/>
              </w:rPr>
              <w:t>艾普拉唑</w:t>
            </w:r>
            <w:bookmarkEnd w:id="10"/>
            <w:proofErr w:type="gramEnd"/>
          </w:p>
        </w:tc>
      </w:tr>
      <w:tr w:rsidR="004306C4" w:rsidRPr="004306C4" w:rsidTr="00295763">
        <w:trPr>
          <w:trHeight w:val="553"/>
        </w:trPr>
        <w:tc>
          <w:tcPr>
            <w:tcW w:w="434" w:type="pct"/>
            <w:vMerge/>
            <w:tcBorders>
              <w:left w:val="nil"/>
              <w:bottom w:val="single" w:sz="4" w:space="0" w:color="auto"/>
              <w:right w:val="dashed" w:sz="2" w:space="0" w:color="auto"/>
            </w:tcBorders>
            <w:shd w:val="clear" w:color="auto" w:fill="auto"/>
            <w:vAlign w:val="center"/>
          </w:tcPr>
          <w:p w:rsidR="007A5BD9" w:rsidRPr="004306C4" w:rsidRDefault="007A5BD9">
            <w:pPr>
              <w:rPr>
                <w:rFonts w:ascii="Times New Roman" w:eastAsia="宋体" w:hAnsi="Times New Roman" w:cs="Times New Roman"/>
                <w:b/>
                <w:bCs/>
                <w:color w:val="000000" w:themeColor="text1"/>
                <w:sz w:val="24"/>
                <w:szCs w:val="24"/>
              </w:rPr>
            </w:pPr>
          </w:p>
        </w:tc>
        <w:tc>
          <w:tcPr>
            <w:tcW w:w="578" w:type="pct"/>
            <w:tcBorders>
              <w:top w:val="single" w:sz="4" w:space="0" w:color="auto"/>
              <w:left w:val="dashed" w:sz="2" w:space="0" w:color="auto"/>
              <w:bottom w:val="single" w:sz="4" w:space="0" w:color="auto"/>
              <w:right w:val="dashed" w:sz="2" w:space="0" w:color="auto"/>
            </w:tcBorders>
            <w:shd w:val="clear" w:color="auto" w:fill="auto"/>
            <w:vAlign w:val="center"/>
          </w:tcPr>
          <w:p w:rsidR="007A5BD9" w:rsidRPr="004306C4" w:rsidRDefault="006F57AF">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口服</w:t>
            </w:r>
          </w:p>
        </w:tc>
        <w:tc>
          <w:tcPr>
            <w:tcW w:w="426" w:type="pct"/>
            <w:tcBorders>
              <w:top w:val="single" w:sz="4" w:space="0" w:color="auto"/>
              <w:left w:val="dashed" w:sz="2" w:space="0" w:color="auto"/>
              <w:bottom w:val="single" w:sz="4" w:space="0" w:color="auto"/>
              <w:right w:val="dashed" w:sz="2" w:space="0" w:color="auto"/>
            </w:tcBorders>
            <w:shd w:val="clear" w:color="auto" w:fill="auto"/>
            <w:vAlign w:val="center"/>
          </w:tcPr>
          <w:p w:rsidR="007A5BD9" w:rsidRPr="004306C4" w:rsidRDefault="006F57AF">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针剂</w:t>
            </w:r>
          </w:p>
        </w:tc>
        <w:tc>
          <w:tcPr>
            <w:tcW w:w="302" w:type="pct"/>
            <w:tcBorders>
              <w:top w:val="single" w:sz="4" w:space="0" w:color="auto"/>
              <w:left w:val="dashed" w:sz="2" w:space="0" w:color="auto"/>
              <w:bottom w:val="single" w:sz="4" w:space="0" w:color="auto"/>
              <w:right w:val="dashed" w:sz="2" w:space="0" w:color="auto"/>
            </w:tcBorders>
            <w:shd w:val="clear" w:color="auto" w:fill="auto"/>
            <w:vAlign w:val="center"/>
          </w:tcPr>
          <w:p w:rsidR="007A5BD9" w:rsidRPr="004306C4" w:rsidRDefault="006F57AF">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口服</w:t>
            </w:r>
          </w:p>
        </w:tc>
        <w:tc>
          <w:tcPr>
            <w:tcW w:w="303" w:type="pct"/>
            <w:tcBorders>
              <w:top w:val="single" w:sz="4" w:space="0" w:color="auto"/>
              <w:left w:val="dashed" w:sz="2" w:space="0" w:color="auto"/>
              <w:bottom w:val="single" w:sz="4" w:space="0" w:color="auto"/>
              <w:right w:val="dashed" w:sz="2" w:space="0" w:color="auto"/>
            </w:tcBorders>
            <w:shd w:val="clear" w:color="auto" w:fill="auto"/>
            <w:vAlign w:val="center"/>
          </w:tcPr>
          <w:p w:rsidR="007A5BD9" w:rsidRPr="004306C4" w:rsidRDefault="006F57AF">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针剂</w:t>
            </w:r>
          </w:p>
        </w:tc>
        <w:tc>
          <w:tcPr>
            <w:tcW w:w="471" w:type="pct"/>
            <w:tcBorders>
              <w:top w:val="single" w:sz="4" w:space="0" w:color="auto"/>
              <w:left w:val="dashed" w:sz="2" w:space="0" w:color="auto"/>
              <w:bottom w:val="single" w:sz="4" w:space="0" w:color="auto"/>
              <w:right w:val="dashed" w:sz="2" w:space="0" w:color="auto"/>
            </w:tcBorders>
            <w:shd w:val="clear" w:color="auto" w:fill="auto"/>
            <w:vAlign w:val="center"/>
          </w:tcPr>
          <w:p w:rsidR="007A5BD9" w:rsidRPr="004306C4" w:rsidRDefault="006F57AF">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口服</w:t>
            </w:r>
          </w:p>
        </w:tc>
        <w:tc>
          <w:tcPr>
            <w:tcW w:w="426" w:type="pct"/>
            <w:tcBorders>
              <w:top w:val="single" w:sz="4" w:space="0" w:color="auto"/>
              <w:left w:val="dashed" w:sz="2" w:space="0" w:color="auto"/>
              <w:bottom w:val="single" w:sz="4" w:space="0" w:color="auto"/>
              <w:right w:val="dashed" w:sz="2" w:space="0" w:color="auto"/>
            </w:tcBorders>
            <w:shd w:val="clear" w:color="auto" w:fill="auto"/>
            <w:vAlign w:val="center"/>
          </w:tcPr>
          <w:p w:rsidR="007A5BD9" w:rsidRPr="004306C4" w:rsidRDefault="006F57AF">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针剂</w:t>
            </w:r>
          </w:p>
        </w:tc>
        <w:tc>
          <w:tcPr>
            <w:tcW w:w="571" w:type="pct"/>
            <w:tcBorders>
              <w:top w:val="single" w:sz="4" w:space="0" w:color="auto"/>
              <w:left w:val="dashed" w:sz="2" w:space="0" w:color="auto"/>
              <w:bottom w:val="single" w:sz="4" w:space="0" w:color="auto"/>
              <w:right w:val="dashed" w:sz="2" w:space="0" w:color="auto"/>
            </w:tcBorders>
            <w:shd w:val="clear" w:color="auto" w:fill="auto"/>
            <w:vAlign w:val="center"/>
          </w:tcPr>
          <w:p w:rsidR="007A5BD9" w:rsidRPr="004306C4" w:rsidRDefault="006F57AF">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口服</w:t>
            </w:r>
          </w:p>
        </w:tc>
        <w:tc>
          <w:tcPr>
            <w:tcW w:w="335" w:type="pct"/>
            <w:tcBorders>
              <w:top w:val="single" w:sz="4" w:space="0" w:color="auto"/>
              <w:left w:val="dashed" w:sz="2" w:space="0" w:color="auto"/>
              <w:bottom w:val="single" w:sz="4" w:space="0" w:color="auto"/>
              <w:right w:val="dashed" w:sz="2" w:space="0" w:color="auto"/>
            </w:tcBorders>
            <w:shd w:val="clear" w:color="auto" w:fill="auto"/>
            <w:vAlign w:val="center"/>
          </w:tcPr>
          <w:p w:rsidR="007A5BD9" w:rsidRPr="004306C4" w:rsidRDefault="006F57AF">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针剂</w:t>
            </w:r>
          </w:p>
        </w:tc>
        <w:tc>
          <w:tcPr>
            <w:tcW w:w="305" w:type="pct"/>
            <w:tcBorders>
              <w:top w:val="single" w:sz="4" w:space="0" w:color="auto"/>
              <w:left w:val="dashed" w:sz="2" w:space="0" w:color="auto"/>
              <w:bottom w:val="single" w:sz="4" w:space="0" w:color="auto"/>
              <w:right w:val="dashed" w:sz="2" w:space="0" w:color="auto"/>
            </w:tcBorders>
            <w:shd w:val="clear" w:color="auto" w:fill="auto"/>
            <w:vAlign w:val="center"/>
          </w:tcPr>
          <w:p w:rsidR="007A5BD9" w:rsidRPr="004306C4" w:rsidRDefault="006F57AF">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口服</w:t>
            </w:r>
          </w:p>
        </w:tc>
        <w:tc>
          <w:tcPr>
            <w:tcW w:w="305" w:type="pct"/>
            <w:tcBorders>
              <w:top w:val="single" w:sz="4" w:space="0" w:color="auto"/>
              <w:left w:val="dashed" w:sz="2" w:space="0" w:color="auto"/>
              <w:bottom w:val="single" w:sz="4" w:space="0" w:color="auto"/>
              <w:right w:val="dashed" w:sz="2" w:space="0" w:color="auto"/>
            </w:tcBorders>
            <w:shd w:val="clear" w:color="auto" w:fill="auto"/>
            <w:vAlign w:val="center"/>
          </w:tcPr>
          <w:p w:rsidR="007A5BD9" w:rsidRPr="004306C4" w:rsidRDefault="006F57AF">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针剂</w:t>
            </w:r>
          </w:p>
        </w:tc>
        <w:tc>
          <w:tcPr>
            <w:tcW w:w="274" w:type="pct"/>
            <w:tcBorders>
              <w:top w:val="single" w:sz="4" w:space="0" w:color="auto"/>
              <w:left w:val="dashed" w:sz="2" w:space="0" w:color="auto"/>
              <w:bottom w:val="single" w:sz="4" w:space="0" w:color="auto"/>
              <w:right w:val="dashed" w:sz="2" w:space="0" w:color="auto"/>
            </w:tcBorders>
            <w:shd w:val="clear" w:color="auto" w:fill="auto"/>
            <w:vAlign w:val="center"/>
          </w:tcPr>
          <w:p w:rsidR="007A5BD9" w:rsidRPr="004306C4" w:rsidRDefault="006F57AF">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口服</w:t>
            </w:r>
          </w:p>
        </w:tc>
        <w:tc>
          <w:tcPr>
            <w:tcW w:w="271" w:type="pct"/>
            <w:tcBorders>
              <w:top w:val="single" w:sz="4" w:space="0" w:color="auto"/>
              <w:left w:val="dashed" w:sz="2" w:space="0" w:color="auto"/>
              <w:bottom w:val="single" w:sz="4" w:space="0" w:color="auto"/>
            </w:tcBorders>
            <w:shd w:val="clear" w:color="auto" w:fill="auto"/>
            <w:vAlign w:val="center"/>
          </w:tcPr>
          <w:p w:rsidR="007A5BD9" w:rsidRPr="004306C4" w:rsidRDefault="006F57AF">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针剂</w:t>
            </w:r>
          </w:p>
        </w:tc>
      </w:tr>
      <w:tr w:rsidR="004306C4" w:rsidRPr="004A1DEE" w:rsidTr="00295763">
        <w:trPr>
          <w:trHeight w:val="812"/>
        </w:trPr>
        <w:tc>
          <w:tcPr>
            <w:tcW w:w="434" w:type="pct"/>
            <w:tcBorders>
              <w:top w:val="single" w:sz="4" w:space="0" w:color="auto"/>
              <w:bottom w:val="dashed" w:sz="2" w:space="0" w:color="auto"/>
              <w:right w:val="dashed" w:sz="2" w:space="0" w:color="auto"/>
            </w:tcBorders>
            <w:shd w:val="clear" w:color="auto" w:fill="auto"/>
            <w:vAlign w:val="center"/>
          </w:tcPr>
          <w:p w:rsidR="007A5BD9" w:rsidRPr="004306C4" w:rsidRDefault="006F57AF">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肝功能异常</w:t>
            </w:r>
          </w:p>
        </w:tc>
        <w:tc>
          <w:tcPr>
            <w:tcW w:w="578" w:type="pct"/>
            <w:tcBorders>
              <w:top w:val="single" w:sz="4" w:space="0" w:color="auto"/>
              <w:left w:val="dashed" w:sz="2" w:space="0" w:color="auto"/>
              <w:bottom w:val="dashed" w:sz="2" w:space="0" w:color="auto"/>
              <w:right w:val="dashed" w:sz="2" w:space="0" w:color="auto"/>
            </w:tcBorders>
            <w:shd w:val="clear" w:color="auto" w:fill="auto"/>
            <w:vAlign w:val="center"/>
          </w:tcPr>
          <w:p w:rsidR="007A5BD9" w:rsidRPr="004A1DEE" w:rsidRDefault="006F57AF" w:rsidP="004306C4">
            <w:pPr>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严重者不超过</w:t>
            </w:r>
            <w:r w:rsidR="004A1DEE">
              <w:rPr>
                <w:rFonts w:ascii="Times New Roman" w:eastAsia="宋体" w:hAnsi="Times New Roman" w:cs="Times New Roman" w:hint="eastAsia"/>
                <w:color w:val="000000" w:themeColor="text1"/>
                <w:sz w:val="24"/>
                <w:szCs w:val="24"/>
              </w:rPr>
              <w:t xml:space="preserve">20 </w:t>
            </w:r>
            <w:r w:rsidR="004A1DEE" w:rsidRPr="0038411F">
              <w:rPr>
                <w:rFonts w:ascii="Times New Roman" w:eastAsia="宋体" w:hAnsi="Times New Roman" w:cs="Times New Roman"/>
                <w:color w:val="000000" w:themeColor="text1"/>
                <w:sz w:val="24"/>
                <w:szCs w:val="24"/>
              </w:rPr>
              <w:t>mg</w:t>
            </w:r>
            <w:r w:rsidR="004A1DEE" w:rsidRPr="0038411F">
              <w:rPr>
                <w:rFonts w:ascii="Times New Roman" w:eastAsia="宋体" w:hAnsi="Times New Roman" w:cs="Times New Roman" w:hint="eastAsia"/>
                <w:color w:val="000000" w:themeColor="text1"/>
                <w:sz w:val="24"/>
                <w:szCs w:val="24"/>
              </w:rPr>
              <w:t>﹒</w:t>
            </w:r>
            <w:r w:rsidR="004A1DEE" w:rsidRPr="0038411F">
              <w:rPr>
                <w:rFonts w:ascii="Times New Roman" w:eastAsia="宋体" w:hAnsi="Times New Roman" w:cs="Times New Roman"/>
                <w:color w:val="000000" w:themeColor="text1"/>
                <w:sz w:val="24"/>
                <w:szCs w:val="24"/>
              </w:rPr>
              <w:t>d</w:t>
            </w:r>
            <w:r w:rsidR="004A1DEE" w:rsidRPr="0038411F">
              <w:rPr>
                <w:rFonts w:ascii="Times New Roman" w:eastAsia="宋体" w:hAnsi="Times New Roman" w:cs="Times New Roman"/>
                <w:color w:val="000000" w:themeColor="text1"/>
                <w:sz w:val="24"/>
                <w:szCs w:val="24"/>
                <w:vertAlign w:val="superscript"/>
              </w:rPr>
              <w:t>-1</w:t>
            </w:r>
          </w:p>
        </w:tc>
        <w:tc>
          <w:tcPr>
            <w:tcW w:w="426" w:type="pct"/>
            <w:tcBorders>
              <w:top w:val="single" w:sz="4" w:space="0" w:color="auto"/>
              <w:left w:val="dashed" w:sz="2" w:space="0" w:color="auto"/>
              <w:bottom w:val="dashed" w:sz="2" w:space="0" w:color="auto"/>
              <w:right w:val="dashed" w:sz="2" w:space="0" w:color="auto"/>
            </w:tcBorders>
            <w:shd w:val="clear" w:color="auto" w:fill="auto"/>
            <w:vAlign w:val="center"/>
          </w:tcPr>
          <w:p w:rsidR="007A5BD9" w:rsidRPr="004A1DEE" w:rsidRDefault="006F57AF" w:rsidP="004306C4">
            <w:pPr>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无需调整</w:t>
            </w:r>
          </w:p>
        </w:tc>
        <w:tc>
          <w:tcPr>
            <w:tcW w:w="605" w:type="pct"/>
            <w:gridSpan w:val="2"/>
            <w:tcBorders>
              <w:top w:val="single" w:sz="4" w:space="0" w:color="auto"/>
              <w:left w:val="dashed" w:sz="2" w:space="0" w:color="auto"/>
              <w:bottom w:val="dashed" w:sz="2" w:space="0" w:color="auto"/>
              <w:right w:val="dashed" w:sz="2" w:space="0" w:color="auto"/>
            </w:tcBorders>
            <w:shd w:val="clear" w:color="auto" w:fill="auto"/>
            <w:vAlign w:val="center"/>
          </w:tcPr>
          <w:p w:rsidR="007A5BD9" w:rsidRPr="004A1DEE" w:rsidRDefault="006F57AF" w:rsidP="004306C4">
            <w:pPr>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严重者不超过</w:t>
            </w:r>
            <w:r w:rsidRPr="004A1DEE">
              <w:rPr>
                <w:rFonts w:ascii="Times New Roman" w:eastAsia="宋体" w:hAnsi="Times New Roman" w:cs="Times New Roman"/>
                <w:color w:val="000000" w:themeColor="text1"/>
                <w:sz w:val="24"/>
                <w:szCs w:val="24"/>
              </w:rPr>
              <w:t>20</w:t>
            </w:r>
            <w:r w:rsidR="004A1DEE" w:rsidRPr="0038411F">
              <w:rPr>
                <w:rFonts w:ascii="Times New Roman" w:eastAsia="宋体" w:hAnsi="Times New Roman" w:cs="Times New Roman"/>
                <w:color w:val="000000" w:themeColor="text1"/>
                <w:sz w:val="24"/>
                <w:szCs w:val="24"/>
              </w:rPr>
              <w:t xml:space="preserve"> mg</w:t>
            </w:r>
            <w:r w:rsidR="004A1DEE" w:rsidRPr="0038411F">
              <w:rPr>
                <w:rFonts w:ascii="Times New Roman" w:eastAsia="宋体" w:hAnsi="Times New Roman" w:cs="Times New Roman" w:hint="eastAsia"/>
                <w:color w:val="000000" w:themeColor="text1"/>
                <w:sz w:val="24"/>
                <w:szCs w:val="24"/>
              </w:rPr>
              <w:t>﹒</w:t>
            </w:r>
            <w:r w:rsidR="004A1DEE" w:rsidRPr="0038411F">
              <w:rPr>
                <w:rFonts w:ascii="Times New Roman" w:eastAsia="宋体" w:hAnsi="Times New Roman" w:cs="Times New Roman"/>
                <w:color w:val="000000" w:themeColor="text1"/>
                <w:sz w:val="24"/>
                <w:szCs w:val="24"/>
              </w:rPr>
              <w:t>d</w:t>
            </w:r>
            <w:r w:rsidR="004A1DEE" w:rsidRPr="0038411F">
              <w:rPr>
                <w:rFonts w:ascii="Times New Roman" w:eastAsia="宋体" w:hAnsi="Times New Roman" w:cs="Times New Roman"/>
                <w:color w:val="000000" w:themeColor="text1"/>
                <w:sz w:val="24"/>
                <w:szCs w:val="24"/>
                <w:vertAlign w:val="superscript"/>
              </w:rPr>
              <w:t>-1</w:t>
            </w:r>
          </w:p>
        </w:tc>
        <w:tc>
          <w:tcPr>
            <w:tcW w:w="471" w:type="pct"/>
            <w:tcBorders>
              <w:top w:val="single" w:sz="4" w:space="0" w:color="auto"/>
              <w:left w:val="dashed" w:sz="2" w:space="0" w:color="auto"/>
              <w:bottom w:val="dashed" w:sz="2" w:space="0" w:color="auto"/>
              <w:right w:val="dashed" w:sz="2" w:space="0" w:color="auto"/>
            </w:tcBorders>
            <w:shd w:val="clear" w:color="auto" w:fill="auto"/>
            <w:vAlign w:val="center"/>
          </w:tcPr>
          <w:p w:rsidR="007A5BD9" w:rsidRPr="004A1DEE" w:rsidRDefault="006F57AF">
            <w:pPr>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15</w:t>
            </w:r>
            <w:r w:rsidR="004A1DEE" w:rsidRPr="0038411F">
              <w:rPr>
                <w:rFonts w:ascii="Times New Roman" w:eastAsia="宋体" w:hAnsi="Times New Roman" w:cs="Times New Roman"/>
                <w:color w:val="000000" w:themeColor="text1"/>
                <w:sz w:val="24"/>
                <w:szCs w:val="24"/>
              </w:rPr>
              <w:t xml:space="preserve"> </w:t>
            </w:r>
            <w:r w:rsidR="00604E68">
              <w:rPr>
                <w:rFonts w:ascii="Times New Roman" w:eastAsia="宋体" w:hAnsi="Times New Roman" w:cs="Times New Roman" w:hint="eastAsia"/>
                <w:color w:val="000000" w:themeColor="text1"/>
                <w:sz w:val="24"/>
                <w:szCs w:val="24"/>
              </w:rPr>
              <w:t xml:space="preserve"> </w:t>
            </w:r>
            <w:r w:rsidR="004A1DEE" w:rsidRPr="0038411F">
              <w:rPr>
                <w:rFonts w:ascii="Times New Roman" w:eastAsia="宋体" w:hAnsi="Times New Roman" w:cs="Times New Roman"/>
                <w:color w:val="000000" w:themeColor="text1"/>
                <w:sz w:val="24"/>
                <w:szCs w:val="24"/>
              </w:rPr>
              <w:t>mg</w:t>
            </w:r>
            <w:r w:rsidR="004A1DEE" w:rsidRPr="0038411F">
              <w:rPr>
                <w:rFonts w:ascii="Times New Roman" w:eastAsia="宋体" w:hAnsi="Times New Roman" w:cs="Times New Roman" w:hint="eastAsia"/>
                <w:color w:val="000000" w:themeColor="text1"/>
                <w:sz w:val="24"/>
                <w:szCs w:val="24"/>
              </w:rPr>
              <w:t>﹒</w:t>
            </w:r>
            <w:r w:rsidR="004A1DEE" w:rsidRPr="0038411F">
              <w:rPr>
                <w:rFonts w:ascii="Times New Roman" w:eastAsia="宋体" w:hAnsi="Times New Roman" w:cs="Times New Roman"/>
                <w:color w:val="000000" w:themeColor="text1"/>
                <w:sz w:val="24"/>
                <w:szCs w:val="24"/>
              </w:rPr>
              <w:t>d</w:t>
            </w:r>
            <w:r w:rsidR="004A1DEE" w:rsidRPr="0038411F">
              <w:rPr>
                <w:rFonts w:ascii="Times New Roman" w:eastAsia="宋体" w:hAnsi="Times New Roman" w:cs="Times New Roman"/>
                <w:color w:val="000000" w:themeColor="text1"/>
                <w:sz w:val="24"/>
                <w:szCs w:val="24"/>
                <w:vertAlign w:val="superscript"/>
              </w:rPr>
              <w:t>-1</w:t>
            </w:r>
          </w:p>
        </w:tc>
        <w:tc>
          <w:tcPr>
            <w:tcW w:w="426" w:type="pct"/>
            <w:tcBorders>
              <w:top w:val="single" w:sz="4" w:space="0" w:color="auto"/>
              <w:left w:val="dashed" w:sz="2" w:space="0" w:color="auto"/>
              <w:bottom w:val="dashed" w:sz="2" w:space="0" w:color="auto"/>
              <w:right w:val="dashed" w:sz="2" w:space="0" w:color="auto"/>
            </w:tcBorders>
            <w:shd w:val="clear" w:color="auto" w:fill="auto"/>
            <w:vAlign w:val="center"/>
          </w:tcPr>
          <w:p w:rsidR="007A5BD9" w:rsidRPr="004A1DEE" w:rsidRDefault="006F57AF">
            <w:pPr>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严重者减少剂量</w:t>
            </w:r>
          </w:p>
        </w:tc>
        <w:tc>
          <w:tcPr>
            <w:tcW w:w="571" w:type="pct"/>
            <w:tcBorders>
              <w:top w:val="single" w:sz="4" w:space="0" w:color="auto"/>
              <w:left w:val="dashed" w:sz="2" w:space="0" w:color="auto"/>
              <w:bottom w:val="dashed" w:sz="2" w:space="0" w:color="auto"/>
              <w:right w:val="dashed" w:sz="2" w:space="0" w:color="auto"/>
            </w:tcBorders>
            <w:shd w:val="clear" w:color="auto" w:fill="auto"/>
            <w:vAlign w:val="center"/>
          </w:tcPr>
          <w:p w:rsidR="007A5BD9" w:rsidRPr="004A1DEE" w:rsidRDefault="006F57AF" w:rsidP="004306C4">
            <w:pPr>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重度不超过</w:t>
            </w:r>
            <w:r w:rsidRPr="004A1DEE">
              <w:rPr>
                <w:rFonts w:ascii="Times New Roman" w:eastAsia="宋体" w:hAnsi="Times New Roman" w:cs="Times New Roman"/>
                <w:color w:val="000000" w:themeColor="text1"/>
                <w:sz w:val="24"/>
                <w:szCs w:val="24"/>
              </w:rPr>
              <w:t>20</w:t>
            </w:r>
            <w:r w:rsidR="004A1DEE" w:rsidRPr="0038411F">
              <w:rPr>
                <w:rFonts w:ascii="Times New Roman" w:eastAsia="宋体" w:hAnsi="Times New Roman" w:cs="Times New Roman"/>
                <w:color w:val="000000" w:themeColor="text1"/>
                <w:sz w:val="24"/>
                <w:szCs w:val="24"/>
              </w:rPr>
              <w:t xml:space="preserve"> mg</w:t>
            </w:r>
            <w:r w:rsidR="004A1DEE" w:rsidRPr="0038411F">
              <w:rPr>
                <w:rFonts w:ascii="Times New Roman" w:eastAsia="宋体" w:hAnsi="Times New Roman" w:cs="Times New Roman" w:hint="eastAsia"/>
                <w:color w:val="000000" w:themeColor="text1"/>
                <w:sz w:val="24"/>
                <w:szCs w:val="24"/>
              </w:rPr>
              <w:t>﹒</w:t>
            </w:r>
            <w:r w:rsidR="004A1DEE" w:rsidRPr="0038411F">
              <w:rPr>
                <w:rFonts w:ascii="Times New Roman" w:eastAsia="宋体" w:hAnsi="Times New Roman" w:cs="Times New Roman"/>
                <w:color w:val="000000" w:themeColor="text1"/>
                <w:sz w:val="24"/>
                <w:szCs w:val="24"/>
              </w:rPr>
              <w:t>d</w:t>
            </w:r>
            <w:r w:rsidR="004A1DEE" w:rsidRPr="0038411F">
              <w:rPr>
                <w:rFonts w:ascii="Times New Roman" w:eastAsia="宋体" w:hAnsi="Times New Roman" w:cs="Times New Roman"/>
                <w:color w:val="000000" w:themeColor="text1"/>
                <w:sz w:val="24"/>
                <w:szCs w:val="24"/>
                <w:vertAlign w:val="superscript"/>
              </w:rPr>
              <w:t>-1</w:t>
            </w:r>
          </w:p>
        </w:tc>
        <w:tc>
          <w:tcPr>
            <w:tcW w:w="335" w:type="pct"/>
            <w:tcBorders>
              <w:top w:val="single" w:sz="4" w:space="0" w:color="auto"/>
              <w:left w:val="dashed" w:sz="2" w:space="0" w:color="auto"/>
              <w:bottom w:val="dashed" w:sz="2" w:space="0" w:color="auto"/>
              <w:right w:val="dashed" w:sz="2" w:space="0" w:color="auto"/>
            </w:tcBorders>
            <w:shd w:val="clear" w:color="auto" w:fill="auto"/>
            <w:vAlign w:val="center"/>
          </w:tcPr>
          <w:p w:rsidR="007A5BD9" w:rsidRPr="004A1DEE" w:rsidRDefault="006F57AF">
            <w:pPr>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无需调整</w:t>
            </w:r>
          </w:p>
          <w:p w:rsidR="007A5BD9" w:rsidRPr="004A1DEE" w:rsidRDefault="007A5BD9">
            <w:pPr>
              <w:rPr>
                <w:rFonts w:ascii="Times New Roman" w:eastAsia="宋体" w:hAnsi="Times New Roman" w:cs="Times New Roman"/>
                <w:color w:val="000000" w:themeColor="text1"/>
                <w:sz w:val="24"/>
                <w:szCs w:val="24"/>
              </w:rPr>
            </w:pPr>
          </w:p>
        </w:tc>
        <w:tc>
          <w:tcPr>
            <w:tcW w:w="609" w:type="pct"/>
            <w:gridSpan w:val="2"/>
            <w:tcBorders>
              <w:top w:val="single" w:sz="4" w:space="0" w:color="auto"/>
              <w:left w:val="dashed" w:sz="2" w:space="0" w:color="auto"/>
              <w:bottom w:val="dashed" w:sz="2" w:space="0" w:color="auto"/>
              <w:right w:val="dashed" w:sz="2" w:space="0" w:color="auto"/>
            </w:tcBorders>
            <w:shd w:val="clear" w:color="auto" w:fill="auto"/>
            <w:vAlign w:val="center"/>
          </w:tcPr>
          <w:p w:rsidR="007A5BD9" w:rsidRPr="004A1DEE" w:rsidRDefault="006F57AF">
            <w:pPr>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慎用</w:t>
            </w:r>
          </w:p>
        </w:tc>
        <w:tc>
          <w:tcPr>
            <w:tcW w:w="545" w:type="pct"/>
            <w:gridSpan w:val="2"/>
            <w:tcBorders>
              <w:top w:val="single" w:sz="4" w:space="0" w:color="auto"/>
              <w:left w:val="dashed" w:sz="2" w:space="0" w:color="auto"/>
              <w:bottom w:val="dashed" w:sz="2" w:space="0" w:color="auto"/>
            </w:tcBorders>
            <w:shd w:val="clear" w:color="auto" w:fill="auto"/>
            <w:vAlign w:val="center"/>
          </w:tcPr>
          <w:p w:rsidR="007A5BD9" w:rsidRPr="004A1DEE" w:rsidRDefault="006F57AF">
            <w:pPr>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慎用</w:t>
            </w:r>
          </w:p>
        </w:tc>
      </w:tr>
      <w:tr w:rsidR="007A5BD9" w:rsidRPr="004A1DEE" w:rsidTr="00295763">
        <w:trPr>
          <w:trHeight w:val="540"/>
        </w:trPr>
        <w:tc>
          <w:tcPr>
            <w:tcW w:w="434" w:type="pct"/>
            <w:tcBorders>
              <w:top w:val="dashed" w:sz="2" w:space="0" w:color="auto"/>
              <w:bottom w:val="dashed" w:sz="2" w:space="0" w:color="auto"/>
              <w:right w:val="dashed" w:sz="2" w:space="0" w:color="auto"/>
            </w:tcBorders>
            <w:shd w:val="clear" w:color="auto" w:fill="auto"/>
            <w:vAlign w:val="center"/>
          </w:tcPr>
          <w:p w:rsidR="007A5BD9" w:rsidRPr="004306C4" w:rsidRDefault="006F57AF">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肾功能异常</w:t>
            </w:r>
          </w:p>
        </w:tc>
        <w:tc>
          <w:tcPr>
            <w:tcW w:w="1003" w:type="pct"/>
            <w:gridSpan w:val="2"/>
            <w:tcBorders>
              <w:top w:val="dashed" w:sz="2" w:space="0" w:color="auto"/>
              <w:left w:val="dashed" w:sz="2" w:space="0" w:color="auto"/>
              <w:bottom w:val="dashed" w:sz="2" w:space="0" w:color="auto"/>
              <w:right w:val="dashed" w:sz="2" w:space="0" w:color="auto"/>
            </w:tcBorders>
            <w:shd w:val="clear" w:color="auto" w:fill="auto"/>
            <w:vAlign w:val="center"/>
          </w:tcPr>
          <w:p w:rsidR="007A5BD9" w:rsidRPr="004A1DEE" w:rsidRDefault="006F57AF">
            <w:pPr>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无需调整</w:t>
            </w:r>
          </w:p>
        </w:tc>
        <w:tc>
          <w:tcPr>
            <w:tcW w:w="605" w:type="pct"/>
            <w:gridSpan w:val="2"/>
            <w:tcBorders>
              <w:top w:val="dashed" w:sz="2" w:space="0" w:color="auto"/>
              <w:left w:val="dashed" w:sz="2" w:space="0" w:color="auto"/>
              <w:bottom w:val="dashed" w:sz="2" w:space="0" w:color="auto"/>
              <w:right w:val="dashed" w:sz="2" w:space="0" w:color="auto"/>
            </w:tcBorders>
            <w:shd w:val="clear" w:color="auto" w:fill="auto"/>
            <w:vAlign w:val="center"/>
          </w:tcPr>
          <w:p w:rsidR="007A5BD9" w:rsidRPr="004A1DEE" w:rsidRDefault="006F57AF">
            <w:pPr>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无需调整</w:t>
            </w:r>
          </w:p>
        </w:tc>
        <w:tc>
          <w:tcPr>
            <w:tcW w:w="471" w:type="pct"/>
            <w:tcBorders>
              <w:top w:val="dashed" w:sz="2" w:space="0" w:color="auto"/>
              <w:left w:val="dashed" w:sz="2" w:space="0" w:color="auto"/>
              <w:bottom w:val="dashed" w:sz="2" w:space="0" w:color="auto"/>
              <w:right w:val="dashed" w:sz="2" w:space="0" w:color="auto"/>
            </w:tcBorders>
            <w:shd w:val="clear" w:color="auto" w:fill="auto"/>
            <w:vAlign w:val="center"/>
          </w:tcPr>
          <w:p w:rsidR="007A5BD9" w:rsidRPr="004A1DEE" w:rsidRDefault="006F57AF">
            <w:pPr>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15</w:t>
            </w:r>
            <w:r w:rsidR="004A1DEE" w:rsidRPr="0038411F">
              <w:rPr>
                <w:rFonts w:ascii="Times New Roman" w:eastAsia="宋体" w:hAnsi="Times New Roman" w:cs="Times New Roman"/>
                <w:color w:val="000000" w:themeColor="text1"/>
                <w:sz w:val="24"/>
                <w:szCs w:val="24"/>
              </w:rPr>
              <w:t xml:space="preserve"> mg</w:t>
            </w:r>
            <w:r w:rsidR="004A1DEE" w:rsidRPr="0038411F">
              <w:rPr>
                <w:rFonts w:ascii="Times New Roman" w:eastAsia="宋体" w:hAnsi="Times New Roman" w:cs="Times New Roman" w:hint="eastAsia"/>
                <w:color w:val="000000" w:themeColor="text1"/>
                <w:sz w:val="24"/>
                <w:szCs w:val="24"/>
              </w:rPr>
              <w:t>﹒</w:t>
            </w:r>
            <w:r w:rsidR="004A1DEE" w:rsidRPr="0038411F">
              <w:rPr>
                <w:rFonts w:ascii="Times New Roman" w:eastAsia="宋体" w:hAnsi="Times New Roman" w:cs="Times New Roman"/>
                <w:color w:val="000000" w:themeColor="text1"/>
                <w:sz w:val="24"/>
                <w:szCs w:val="24"/>
              </w:rPr>
              <w:t>d</w:t>
            </w:r>
            <w:r w:rsidR="004A1DEE" w:rsidRPr="0038411F">
              <w:rPr>
                <w:rFonts w:ascii="Times New Roman" w:eastAsia="宋体" w:hAnsi="Times New Roman" w:cs="Times New Roman"/>
                <w:color w:val="000000" w:themeColor="text1"/>
                <w:sz w:val="24"/>
                <w:szCs w:val="24"/>
                <w:vertAlign w:val="superscript"/>
              </w:rPr>
              <w:t>-1</w:t>
            </w:r>
          </w:p>
        </w:tc>
        <w:tc>
          <w:tcPr>
            <w:tcW w:w="426" w:type="pct"/>
            <w:tcBorders>
              <w:top w:val="dashed" w:sz="2" w:space="0" w:color="auto"/>
              <w:left w:val="dashed" w:sz="2" w:space="0" w:color="auto"/>
              <w:bottom w:val="dashed" w:sz="2" w:space="0" w:color="auto"/>
              <w:right w:val="dashed" w:sz="2" w:space="0" w:color="auto"/>
            </w:tcBorders>
            <w:shd w:val="clear" w:color="auto" w:fill="auto"/>
            <w:vAlign w:val="center"/>
          </w:tcPr>
          <w:p w:rsidR="007A5BD9" w:rsidRPr="004A1DEE" w:rsidRDefault="006F57AF">
            <w:pPr>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无需调整</w:t>
            </w:r>
          </w:p>
        </w:tc>
        <w:tc>
          <w:tcPr>
            <w:tcW w:w="906" w:type="pct"/>
            <w:gridSpan w:val="2"/>
            <w:tcBorders>
              <w:top w:val="dashed" w:sz="2" w:space="0" w:color="auto"/>
              <w:left w:val="dashed" w:sz="2" w:space="0" w:color="auto"/>
              <w:bottom w:val="dashed" w:sz="2" w:space="0" w:color="auto"/>
              <w:right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无需调整</w:t>
            </w:r>
          </w:p>
        </w:tc>
        <w:tc>
          <w:tcPr>
            <w:tcW w:w="609" w:type="pct"/>
            <w:gridSpan w:val="2"/>
            <w:tcBorders>
              <w:top w:val="dashed" w:sz="2" w:space="0" w:color="auto"/>
              <w:left w:val="dashed" w:sz="2" w:space="0" w:color="auto"/>
              <w:bottom w:val="dashed" w:sz="2" w:space="0" w:color="auto"/>
              <w:right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w:t>
            </w:r>
          </w:p>
        </w:tc>
        <w:tc>
          <w:tcPr>
            <w:tcW w:w="545" w:type="pct"/>
            <w:gridSpan w:val="2"/>
            <w:tcBorders>
              <w:top w:val="dashed" w:sz="2" w:space="0" w:color="auto"/>
              <w:left w:val="dashed" w:sz="2" w:space="0" w:color="auto"/>
              <w:bottom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慎用</w:t>
            </w:r>
          </w:p>
        </w:tc>
      </w:tr>
      <w:tr w:rsidR="007A5BD9" w:rsidRPr="004A1DEE" w:rsidTr="00295763">
        <w:trPr>
          <w:trHeight w:val="293"/>
        </w:trPr>
        <w:tc>
          <w:tcPr>
            <w:tcW w:w="434" w:type="pct"/>
            <w:tcBorders>
              <w:top w:val="dashed" w:sz="2" w:space="0" w:color="auto"/>
              <w:right w:val="dashed" w:sz="2" w:space="0" w:color="auto"/>
            </w:tcBorders>
            <w:shd w:val="clear" w:color="auto" w:fill="auto"/>
            <w:vAlign w:val="center"/>
          </w:tcPr>
          <w:p w:rsidR="007A5BD9" w:rsidRPr="004306C4" w:rsidRDefault="007F5B3E">
            <w:pPr>
              <w:tabs>
                <w:tab w:val="center" w:pos="4320"/>
                <w:tab w:val="right" w:pos="8640"/>
              </w:tabs>
              <w:rPr>
                <w:rFonts w:ascii="Times New Roman" w:eastAsia="宋体" w:hAnsi="Times New Roman" w:cs="Times New Roman"/>
                <w:b/>
                <w:bCs/>
                <w:color w:val="000000" w:themeColor="text1"/>
                <w:sz w:val="24"/>
                <w:szCs w:val="24"/>
              </w:rPr>
            </w:pPr>
            <w:r>
              <w:rPr>
                <w:rFonts w:ascii="Times New Roman" w:eastAsia="宋体" w:hAnsi="Times New Roman" w:cs="Times New Roman"/>
                <w:b/>
                <w:bCs/>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566420</wp:posOffset>
                      </wp:positionV>
                      <wp:extent cx="6082030" cy="0"/>
                      <wp:effectExtent l="0" t="0" r="13970" b="19050"/>
                      <wp:wrapNone/>
                      <wp:docPr id="3" name="直接连接符 3"/>
                      <wp:cNvGraphicFramePr/>
                      <a:graphic xmlns:a="http://schemas.openxmlformats.org/drawingml/2006/main">
                        <a:graphicData uri="http://schemas.microsoft.com/office/word/2010/wordprocessingShape">
                          <wps:wsp>
                            <wps:cNvCnPr/>
                            <wps:spPr>
                              <a:xfrm>
                                <a:off x="0" y="0"/>
                                <a:ext cx="6082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44.6pt" to="470.2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" strokecolor="black [3200]" strokeweight=".5pt">
                      <v:stroke joinstyle="miter"/>
                    </v:line>
                  </w:pict>
                </mc:Fallback>
              </mc:AlternateContent>
            </w:r>
            <w:r w:rsidR="006F57AF" w:rsidRPr="004306C4">
              <w:rPr>
                <w:rFonts w:ascii="Times New Roman" w:eastAsia="宋体" w:hAnsi="Times New Roman" w:cs="Times New Roman"/>
                <w:b/>
                <w:bCs/>
                <w:color w:val="000000" w:themeColor="text1"/>
                <w:sz w:val="24"/>
                <w:szCs w:val="24"/>
              </w:rPr>
              <w:t>老人</w:t>
            </w:r>
          </w:p>
        </w:tc>
        <w:tc>
          <w:tcPr>
            <w:tcW w:w="1003" w:type="pct"/>
            <w:gridSpan w:val="2"/>
            <w:tcBorders>
              <w:top w:val="dashed" w:sz="2" w:space="0" w:color="auto"/>
              <w:left w:val="dashed" w:sz="2" w:space="0" w:color="auto"/>
              <w:right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无需调整</w:t>
            </w:r>
          </w:p>
        </w:tc>
        <w:tc>
          <w:tcPr>
            <w:tcW w:w="605" w:type="pct"/>
            <w:gridSpan w:val="2"/>
            <w:tcBorders>
              <w:top w:val="dashed" w:sz="2" w:space="0" w:color="auto"/>
              <w:left w:val="dashed" w:sz="2" w:space="0" w:color="auto"/>
              <w:right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无需调整</w:t>
            </w:r>
          </w:p>
        </w:tc>
        <w:tc>
          <w:tcPr>
            <w:tcW w:w="897" w:type="pct"/>
            <w:gridSpan w:val="2"/>
            <w:tcBorders>
              <w:top w:val="dashed" w:sz="2" w:space="0" w:color="auto"/>
              <w:left w:val="dashed" w:sz="2" w:space="0" w:color="auto"/>
              <w:right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慎用</w:t>
            </w:r>
          </w:p>
        </w:tc>
        <w:tc>
          <w:tcPr>
            <w:tcW w:w="906" w:type="pct"/>
            <w:gridSpan w:val="2"/>
            <w:tcBorders>
              <w:top w:val="dashed" w:sz="2" w:space="0" w:color="auto"/>
              <w:left w:val="dashed" w:sz="2" w:space="0" w:color="auto"/>
              <w:right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不应超过</w:t>
            </w:r>
            <w:r w:rsidRPr="004A1DEE">
              <w:rPr>
                <w:rFonts w:ascii="Times New Roman" w:eastAsia="宋体" w:hAnsi="Times New Roman" w:cs="Times New Roman"/>
                <w:color w:val="000000" w:themeColor="text1"/>
                <w:sz w:val="24"/>
                <w:szCs w:val="24"/>
              </w:rPr>
              <w:t>40</w:t>
            </w:r>
            <w:r w:rsidR="004A1DEE">
              <w:rPr>
                <w:rFonts w:ascii="Times New Roman" w:eastAsia="宋体" w:hAnsi="Times New Roman" w:cs="Times New Roman" w:hint="eastAsia"/>
                <w:color w:val="000000" w:themeColor="text1"/>
                <w:sz w:val="24"/>
                <w:szCs w:val="24"/>
              </w:rPr>
              <w:t xml:space="preserve"> </w:t>
            </w:r>
            <w:r w:rsidRPr="004A1DEE">
              <w:rPr>
                <w:rFonts w:ascii="Times New Roman" w:eastAsia="宋体" w:hAnsi="Times New Roman" w:cs="Times New Roman"/>
                <w:color w:val="000000" w:themeColor="text1"/>
                <w:sz w:val="24"/>
                <w:szCs w:val="24"/>
              </w:rPr>
              <w:t>mg</w:t>
            </w:r>
          </w:p>
        </w:tc>
        <w:tc>
          <w:tcPr>
            <w:tcW w:w="609" w:type="pct"/>
            <w:gridSpan w:val="2"/>
            <w:tcBorders>
              <w:top w:val="dashed" w:sz="2" w:space="0" w:color="auto"/>
              <w:left w:val="dashed" w:sz="2" w:space="0" w:color="auto"/>
              <w:right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慎用</w:t>
            </w:r>
          </w:p>
        </w:tc>
        <w:tc>
          <w:tcPr>
            <w:tcW w:w="545" w:type="pct"/>
            <w:gridSpan w:val="2"/>
            <w:tcBorders>
              <w:top w:val="dashed" w:sz="2" w:space="0" w:color="auto"/>
              <w:left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无需调整</w:t>
            </w:r>
          </w:p>
        </w:tc>
      </w:tr>
      <w:tr w:rsidR="007D6A9D" w:rsidRPr="004306C4" w:rsidTr="007D6A9D">
        <w:trPr>
          <w:trHeight w:val="150"/>
        </w:trPr>
        <w:tc>
          <w:tcPr>
            <w:tcW w:w="434" w:type="pct"/>
            <w:tcBorders>
              <w:left w:val="nil"/>
              <w:bottom w:val="single" w:sz="4"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p>
        </w:tc>
        <w:tc>
          <w:tcPr>
            <w:tcW w:w="1003" w:type="pct"/>
            <w:gridSpan w:val="2"/>
            <w:tcBorders>
              <w:bottom w:val="single" w:sz="4"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p>
        </w:tc>
        <w:tc>
          <w:tcPr>
            <w:tcW w:w="605" w:type="pct"/>
            <w:gridSpan w:val="2"/>
            <w:tcBorders>
              <w:bottom w:val="single" w:sz="4"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p>
        </w:tc>
        <w:tc>
          <w:tcPr>
            <w:tcW w:w="897" w:type="pct"/>
            <w:gridSpan w:val="2"/>
            <w:tcBorders>
              <w:bottom w:val="single" w:sz="4"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p>
        </w:tc>
        <w:tc>
          <w:tcPr>
            <w:tcW w:w="906" w:type="pct"/>
            <w:gridSpan w:val="2"/>
            <w:tcBorders>
              <w:bottom w:val="single" w:sz="4"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p>
        </w:tc>
        <w:tc>
          <w:tcPr>
            <w:tcW w:w="1154" w:type="pct"/>
            <w:gridSpan w:val="4"/>
            <w:tcBorders>
              <w:bottom w:val="single" w:sz="4" w:space="0" w:color="auto"/>
            </w:tcBorders>
            <w:shd w:val="clear" w:color="auto" w:fill="auto"/>
            <w:vAlign w:val="center"/>
          </w:tcPr>
          <w:p w:rsidR="007D6A9D" w:rsidRPr="004306C4" w:rsidRDefault="007D6A9D" w:rsidP="007D6A9D">
            <w:pPr>
              <w:spacing w:after="0"/>
              <w:jc w:val="right"/>
              <w:rPr>
                <w:rFonts w:ascii="Times New Roman" w:eastAsia="宋体" w:hAnsi="Times New Roman" w:cs="Times New Roman"/>
                <w:b/>
                <w:bCs/>
                <w:color w:val="000000" w:themeColor="text1"/>
                <w:sz w:val="24"/>
                <w:szCs w:val="24"/>
              </w:rPr>
            </w:pPr>
            <w:r w:rsidRPr="007D6A9D">
              <w:rPr>
                <w:rFonts w:ascii="Times New Roman" w:eastAsia="宋体" w:hAnsi="Times New Roman" w:cs="Times New Roman" w:hint="eastAsia"/>
                <w:b/>
                <w:bCs/>
                <w:color w:val="000000" w:themeColor="text1"/>
                <w:szCs w:val="24"/>
              </w:rPr>
              <w:t>续表</w:t>
            </w:r>
            <w:r w:rsidRPr="007D6A9D">
              <w:rPr>
                <w:rFonts w:ascii="Times New Roman" w:eastAsia="宋体" w:hAnsi="Times New Roman" w:cs="Times New Roman" w:hint="eastAsia"/>
                <w:b/>
                <w:bCs/>
                <w:color w:val="000000" w:themeColor="text1"/>
                <w:szCs w:val="24"/>
              </w:rPr>
              <w:t>8</w:t>
            </w:r>
          </w:p>
        </w:tc>
      </w:tr>
      <w:tr w:rsidR="007D6A9D" w:rsidRPr="004306C4" w:rsidTr="00295763">
        <w:trPr>
          <w:trHeight w:val="880"/>
        </w:trPr>
        <w:tc>
          <w:tcPr>
            <w:tcW w:w="434" w:type="pct"/>
            <w:vMerge w:val="restart"/>
            <w:tcBorders>
              <w:top w:val="single" w:sz="4" w:space="0" w:color="auto"/>
              <w:left w:val="nil"/>
              <w:bottom w:val="dashed" w:sz="2" w:space="0" w:color="auto"/>
              <w:right w:val="dashed" w:sz="2"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特殊人群</w:t>
            </w:r>
          </w:p>
        </w:tc>
        <w:tc>
          <w:tcPr>
            <w:tcW w:w="1003" w:type="pct"/>
            <w:gridSpan w:val="2"/>
            <w:tcBorders>
              <w:top w:val="single" w:sz="4" w:space="0" w:color="auto"/>
              <w:left w:val="dashed" w:sz="2" w:space="0" w:color="auto"/>
              <w:bottom w:val="single" w:sz="4" w:space="0" w:color="auto"/>
              <w:right w:val="dashed" w:sz="2"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奥美拉</w:t>
            </w:r>
            <w:proofErr w:type="gramStart"/>
            <w:r w:rsidRPr="004306C4">
              <w:rPr>
                <w:rFonts w:ascii="Times New Roman" w:eastAsia="宋体" w:hAnsi="Times New Roman" w:cs="Times New Roman"/>
                <w:b/>
                <w:bCs/>
                <w:color w:val="000000" w:themeColor="text1"/>
                <w:sz w:val="24"/>
                <w:szCs w:val="24"/>
              </w:rPr>
              <w:t>唑</w:t>
            </w:r>
            <w:proofErr w:type="gramEnd"/>
          </w:p>
        </w:tc>
        <w:tc>
          <w:tcPr>
            <w:tcW w:w="605" w:type="pct"/>
            <w:gridSpan w:val="2"/>
            <w:tcBorders>
              <w:top w:val="single" w:sz="4" w:space="0" w:color="auto"/>
              <w:left w:val="dashed" w:sz="2" w:space="0" w:color="auto"/>
              <w:bottom w:val="single" w:sz="4" w:space="0" w:color="auto"/>
              <w:right w:val="dashed" w:sz="2"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艾司奥美拉</w:t>
            </w:r>
            <w:proofErr w:type="gramStart"/>
            <w:r w:rsidRPr="004306C4">
              <w:rPr>
                <w:rFonts w:ascii="Times New Roman" w:eastAsia="宋体" w:hAnsi="Times New Roman" w:cs="Times New Roman"/>
                <w:b/>
                <w:bCs/>
                <w:color w:val="000000" w:themeColor="text1"/>
                <w:sz w:val="24"/>
                <w:szCs w:val="24"/>
              </w:rPr>
              <w:t>唑</w:t>
            </w:r>
            <w:proofErr w:type="gramEnd"/>
          </w:p>
        </w:tc>
        <w:tc>
          <w:tcPr>
            <w:tcW w:w="897" w:type="pct"/>
            <w:gridSpan w:val="2"/>
            <w:tcBorders>
              <w:top w:val="single" w:sz="4" w:space="0" w:color="auto"/>
              <w:left w:val="dashed" w:sz="2" w:space="0" w:color="auto"/>
              <w:bottom w:val="single" w:sz="4" w:space="0" w:color="auto"/>
              <w:right w:val="dashed" w:sz="2"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兰索拉</w:t>
            </w:r>
            <w:proofErr w:type="gramStart"/>
            <w:r w:rsidRPr="004306C4">
              <w:rPr>
                <w:rFonts w:ascii="Times New Roman" w:eastAsia="宋体" w:hAnsi="Times New Roman" w:cs="Times New Roman"/>
                <w:b/>
                <w:bCs/>
                <w:color w:val="000000" w:themeColor="text1"/>
                <w:sz w:val="24"/>
                <w:szCs w:val="24"/>
              </w:rPr>
              <w:t>唑</w:t>
            </w:r>
            <w:proofErr w:type="gramEnd"/>
          </w:p>
        </w:tc>
        <w:tc>
          <w:tcPr>
            <w:tcW w:w="906" w:type="pct"/>
            <w:gridSpan w:val="2"/>
            <w:tcBorders>
              <w:top w:val="single" w:sz="4" w:space="0" w:color="auto"/>
              <w:left w:val="dashed" w:sz="2" w:space="0" w:color="auto"/>
              <w:bottom w:val="single" w:sz="4" w:space="0" w:color="auto"/>
              <w:right w:val="dashed" w:sz="2"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proofErr w:type="gramStart"/>
            <w:r w:rsidRPr="004306C4">
              <w:rPr>
                <w:rFonts w:ascii="Times New Roman" w:eastAsia="宋体" w:hAnsi="Times New Roman" w:cs="Times New Roman"/>
                <w:b/>
                <w:bCs/>
                <w:color w:val="000000" w:themeColor="text1"/>
                <w:sz w:val="24"/>
                <w:szCs w:val="24"/>
              </w:rPr>
              <w:t>泮</w:t>
            </w:r>
            <w:proofErr w:type="gramEnd"/>
            <w:r w:rsidRPr="004306C4">
              <w:rPr>
                <w:rFonts w:ascii="Times New Roman" w:eastAsia="宋体" w:hAnsi="Times New Roman" w:cs="Times New Roman"/>
                <w:b/>
                <w:bCs/>
                <w:color w:val="000000" w:themeColor="text1"/>
                <w:sz w:val="24"/>
                <w:szCs w:val="24"/>
              </w:rPr>
              <w:t>托拉</w:t>
            </w:r>
            <w:proofErr w:type="gramStart"/>
            <w:r w:rsidRPr="004306C4">
              <w:rPr>
                <w:rFonts w:ascii="Times New Roman" w:eastAsia="宋体" w:hAnsi="Times New Roman" w:cs="Times New Roman"/>
                <w:b/>
                <w:bCs/>
                <w:color w:val="000000" w:themeColor="text1"/>
                <w:sz w:val="24"/>
                <w:szCs w:val="24"/>
              </w:rPr>
              <w:t>唑</w:t>
            </w:r>
            <w:proofErr w:type="gramEnd"/>
          </w:p>
        </w:tc>
        <w:tc>
          <w:tcPr>
            <w:tcW w:w="609" w:type="pct"/>
            <w:gridSpan w:val="2"/>
            <w:tcBorders>
              <w:top w:val="single" w:sz="4" w:space="0" w:color="auto"/>
              <w:left w:val="dashed" w:sz="2" w:space="0" w:color="auto"/>
              <w:bottom w:val="single" w:sz="4" w:space="0" w:color="auto"/>
              <w:right w:val="dashed" w:sz="2"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雷贝拉</w:t>
            </w:r>
            <w:proofErr w:type="gramStart"/>
            <w:r w:rsidRPr="004306C4">
              <w:rPr>
                <w:rFonts w:ascii="Times New Roman" w:eastAsia="宋体" w:hAnsi="Times New Roman" w:cs="Times New Roman"/>
                <w:b/>
                <w:bCs/>
                <w:color w:val="000000" w:themeColor="text1"/>
                <w:sz w:val="24"/>
                <w:szCs w:val="24"/>
              </w:rPr>
              <w:t>唑</w:t>
            </w:r>
            <w:proofErr w:type="gramEnd"/>
          </w:p>
        </w:tc>
        <w:tc>
          <w:tcPr>
            <w:tcW w:w="545" w:type="pct"/>
            <w:gridSpan w:val="2"/>
            <w:tcBorders>
              <w:top w:val="single" w:sz="4" w:space="0" w:color="auto"/>
              <w:left w:val="dashed" w:sz="2" w:space="0" w:color="auto"/>
              <w:bottom w:val="single" w:sz="4"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proofErr w:type="gramStart"/>
            <w:r w:rsidRPr="004306C4">
              <w:rPr>
                <w:rFonts w:ascii="Times New Roman" w:eastAsia="宋体" w:hAnsi="Times New Roman" w:cs="Times New Roman"/>
                <w:b/>
                <w:bCs/>
                <w:color w:val="000000" w:themeColor="text1"/>
                <w:sz w:val="24"/>
                <w:szCs w:val="24"/>
              </w:rPr>
              <w:t>艾普拉唑</w:t>
            </w:r>
            <w:proofErr w:type="gramEnd"/>
          </w:p>
        </w:tc>
      </w:tr>
      <w:tr w:rsidR="007D6A9D" w:rsidRPr="004306C4" w:rsidTr="00295763">
        <w:trPr>
          <w:trHeight w:val="553"/>
        </w:trPr>
        <w:tc>
          <w:tcPr>
            <w:tcW w:w="434" w:type="pct"/>
            <w:vMerge/>
            <w:tcBorders>
              <w:left w:val="nil"/>
              <w:bottom w:val="single" w:sz="4" w:space="0" w:color="auto"/>
              <w:right w:val="dashed" w:sz="2"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p>
        </w:tc>
        <w:tc>
          <w:tcPr>
            <w:tcW w:w="578" w:type="pct"/>
            <w:tcBorders>
              <w:top w:val="single" w:sz="4" w:space="0" w:color="auto"/>
              <w:left w:val="dashed" w:sz="2" w:space="0" w:color="auto"/>
              <w:bottom w:val="single" w:sz="4" w:space="0" w:color="auto"/>
              <w:right w:val="dashed" w:sz="2"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口服</w:t>
            </w:r>
          </w:p>
        </w:tc>
        <w:tc>
          <w:tcPr>
            <w:tcW w:w="426" w:type="pct"/>
            <w:tcBorders>
              <w:top w:val="single" w:sz="4" w:space="0" w:color="auto"/>
              <w:left w:val="dashed" w:sz="2" w:space="0" w:color="auto"/>
              <w:bottom w:val="single" w:sz="4" w:space="0" w:color="auto"/>
              <w:right w:val="dashed" w:sz="2"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针剂</w:t>
            </w:r>
          </w:p>
        </w:tc>
        <w:tc>
          <w:tcPr>
            <w:tcW w:w="302" w:type="pct"/>
            <w:tcBorders>
              <w:top w:val="single" w:sz="4" w:space="0" w:color="auto"/>
              <w:left w:val="dashed" w:sz="2" w:space="0" w:color="auto"/>
              <w:bottom w:val="single" w:sz="4" w:space="0" w:color="auto"/>
              <w:right w:val="dashed" w:sz="2"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口服</w:t>
            </w:r>
          </w:p>
        </w:tc>
        <w:tc>
          <w:tcPr>
            <w:tcW w:w="303" w:type="pct"/>
            <w:tcBorders>
              <w:top w:val="single" w:sz="4" w:space="0" w:color="auto"/>
              <w:left w:val="dashed" w:sz="2" w:space="0" w:color="auto"/>
              <w:bottom w:val="single" w:sz="4" w:space="0" w:color="auto"/>
              <w:right w:val="dashed" w:sz="2"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针剂</w:t>
            </w:r>
          </w:p>
        </w:tc>
        <w:tc>
          <w:tcPr>
            <w:tcW w:w="471" w:type="pct"/>
            <w:tcBorders>
              <w:top w:val="single" w:sz="4" w:space="0" w:color="auto"/>
              <w:left w:val="dashed" w:sz="2" w:space="0" w:color="auto"/>
              <w:bottom w:val="single" w:sz="4" w:space="0" w:color="auto"/>
              <w:right w:val="dashed" w:sz="2"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口服</w:t>
            </w:r>
          </w:p>
        </w:tc>
        <w:tc>
          <w:tcPr>
            <w:tcW w:w="426" w:type="pct"/>
            <w:tcBorders>
              <w:top w:val="single" w:sz="4" w:space="0" w:color="auto"/>
              <w:left w:val="dashed" w:sz="2" w:space="0" w:color="auto"/>
              <w:bottom w:val="single" w:sz="4" w:space="0" w:color="auto"/>
              <w:right w:val="dashed" w:sz="2"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针剂</w:t>
            </w:r>
          </w:p>
        </w:tc>
        <w:tc>
          <w:tcPr>
            <w:tcW w:w="571" w:type="pct"/>
            <w:tcBorders>
              <w:top w:val="single" w:sz="4" w:space="0" w:color="auto"/>
              <w:left w:val="dashed" w:sz="2" w:space="0" w:color="auto"/>
              <w:bottom w:val="single" w:sz="4" w:space="0" w:color="auto"/>
              <w:right w:val="dashed" w:sz="2"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口服</w:t>
            </w:r>
          </w:p>
        </w:tc>
        <w:tc>
          <w:tcPr>
            <w:tcW w:w="335" w:type="pct"/>
            <w:tcBorders>
              <w:top w:val="single" w:sz="4" w:space="0" w:color="auto"/>
              <w:left w:val="dashed" w:sz="2" w:space="0" w:color="auto"/>
              <w:bottom w:val="single" w:sz="4" w:space="0" w:color="auto"/>
              <w:right w:val="dashed" w:sz="2"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针剂</w:t>
            </w:r>
          </w:p>
        </w:tc>
        <w:tc>
          <w:tcPr>
            <w:tcW w:w="305" w:type="pct"/>
            <w:tcBorders>
              <w:top w:val="single" w:sz="4" w:space="0" w:color="auto"/>
              <w:left w:val="dashed" w:sz="2" w:space="0" w:color="auto"/>
              <w:bottom w:val="single" w:sz="4" w:space="0" w:color="auto"/>
              <w:right w:val="dashed" w:sz="2"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口服</w:t>
            </w:r>
          </w:p>
        </w:tc>
        <w:tc>
          <w:tcPr>
            <w:tcW w:w="305" w:type="pct"/>
            <w:tcBorders>
              <w:top w:val="single" w:sz="4" w:space="0" w:color="auto"/>
              <w:left w:val="dashed" w:sz="2" w:space="0" w:color="auto"/>
              <w:bottom w:val="single" w:sz="4" w:space="0" w:color="auto"/>
              <w:right w:val="dashed" w:sz="2"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针剂</w:t>
            </w:r>
          </w:p>
        </w:tc>
        <w:tc>
          <w:tcPr>
            <w:tcW w:w="274" w:type="pct"/>
            <w:tcBorders>
              <w:top w:val="single" w:sz="4" w:space="0" w:color="auto"/>
              <w:left w:val="dashed" w:sz="2" w:space="0" w:color="auto"/>
              <w:bottom w:val="single" w:sz="4" w:space="0" w:color="auto"/>
              <w:right w:val="dashed" w:sz="2"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口服</w:t>
            </w:r>
          </w:p>
        </w:tc>
        <w:tc>
          <w:tcPr>
            <w:tcW w:w="271" w:type="pct"/>
            <w:tcBorders>
              <w:top w:val="single" w:sz="4" w:space="0" w:color="auto"/>
              <w:left w:val="dashed" w:sz="2" w:space="0" w:color="auto"/>
              <w:bottom w:val="single" w:sz="4" w:space="0" w:color="auto"/>
            </w:tcBorders>
            <w:shd w:val="clear" w:color="auto" w:fill="auto"/>
            <w:vAlign w:val="center"/>
          </w:tcPr>
          <w:p w:rsidR="007D6A9D" w:rsidRPr="004306C4" w:rsidRDefault="007D6A9D" w:rsidP="00E852E9">
            <w:pPr>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针剂</w:t>
            </w:r>
          </w:p>
        </w:tc>
      </w:tr>
      <w:tr w:rsidR="007A5BD9" w:rsidRPr="004A1DEE" w:rsidTr="00295763">
        <w:trPr>
          <w:trHeight w:val="556"/>
        </w:trPr>
        <w:tc>
          <w:tcPr>
            <w:tcW w:w="434" w:type="pct"/>
            <w:tcBorders>
              <w:top w:val="single" w:sz="4" w:space="0" w:color="auto"/>
              <w:bottom w:val="dashed" w:sz="2" w:space="0" w:color="auto"/>
              <w:right w:val="dashed" w:sz="2" w:space="0" w:color="auto"/>
            </w:tcBorders>
            <w:shd w:val="clear" w:color="auto" w:fill="auto"/>
            <w:vAlign w:val="center"/>
          </w:tcPr>
          <w:p w:rsidR="007A5BD9" w:rsidRPr="004306C4" w:rsidRDefault="006F57AF" w:rsidP="004A1DEE">
            <w:pPr>
              <w:tabs>
                <w:tab w:val="center" w:pos="4320"/>
                <w:tab w:val="right" w:pos="8640"/>
              </w:tabs>
              <w:spacing w:after="0"/>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儿童</w:t>
            </w:r>
          </w:p>
        </w:tc>
        <w:tc>
          <w:tcPr>
            <w:tcW w:w="1003" w:type="pct"/>
            <w:gridSpan w:val="2"/>
            <w:tcBorders>
              <w:top w:val="dashed" w:sz="2" w:space="0" w:color="auto"/>
              <w:left w:val="dashed" w:sz="2" w:space="0" w:color="auto"/>
              <w:bottom w:val="dashed" w:sz="2" w:space="0" w:color="auto"/>
              <w:right w:val="dashed" w:sz="2" w:space="0" w:color="auto"/>
            </w:tcBorders>
            <w:shd w:val="clear" w:color="auto" w:fill="auto"/>
            <w:vAlign w:val="center"/>
          </w:tcPr>
          <w:p w:rsidR="007A5BD9" w:rsidRPr="004A1DEE" w:rsidRDefault="006F57AF" w:rsidP="004A1DEE">
            <w:pPr>
              <w:tabs>
                <w:tab w:val="center" w:pos="4320"/>
                <w:tab w:val="right" w:pos="8640"/>
              </w:tabs>
              <w:spacing w:after="0"/>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FDA</w:t>
            </w:r>
            <w:r w:rsidRPr="004A1DEE">
              <w:rPr>
                <w:rFonts w:ascii="Times New Roman" w:eastAsia="宋体" w:hAnsi="Times New Roman" w:cs="Times New Roman"/>
                <w:color w:val="000000" w:themeColor="text1"/>
                <w:sz w:val="24"/>
                <w:szCs w:val="24"/>
              </w:rPr>
              <w:t>适应证</w:t>
            </w:r>
          </w:p>
          <w:p w:rsidR="007A5BD9" w:rsidRPr="004A1DEE" w:rsidRDefault="006F57AF" w:rsidP="004A1DEE">
            <w:pPr>
              <w:tabs>
                <w:tab w:val="center" w:pos="4320"/>
                <w:tab w:val="right" w:pos="8640"/>
              </w:tabs>
              <w:spacing w:after="0"/>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1</w:t>
            </w:r>
            <w:r w:rsidRPr="004A1DEE">
              <w:rPr>
                <w:rFonts w:ascii="Times New Roman" w:eastAsia="宋体" w:hAnsi="Times New Roman" w:cs="Times New Roman"/>
                <w:color w:val="000000" w:themeColor="text1"/>
                <w:sz w:val="24"/>
                <w:szCs w:val="24"/>
              </w:rPr>
              <w:t>月以上</w:t>
            </w:r>
          </w:p>
        </w:tc>
        <w:tc>
          <w:tcPr>
            <w:tcW w:w="605" w:type="pct"/>
            <w:gridSpan w:val="2"/>
            <w:tcBorders>
              <w:top w:val="dashed" w:sz="2" w:space="0" w:color="auto"/>
              <w:left w:val="dashed" w:sz="2" w:space="0" w:color="auto"/>
              <w:bottom w:val="dashed" w:sz="2" w:space="0" w:color="auto"/>
              <w:right w:val="dashed" w:sz="2" w:space="0" w:color="auto"/>
            </w:tcBorders>
            <w:shd w:val="clear" w:color="auto" w:fill="auto"/>
            <w:vAlign w:val="center"/>
          </w:tcPr>
          <w:p w:rsidR="007A5BD9" w:rsidRPr="004A1DEE" w:rsidRDefault="006F57AF" w:rsidP="004A1DEE">
            <w:pPr>
              <w:tabs>
                <w:tab w:val="center" w:pos="4320"/>
                <w:tab w:val="right" w:pos="8640"/>
              </w:tabs>
              <w:spacing w:after="0"/>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FDA</w:t>
            </w:r>
            <w:r w:rsidRPr="004A1DEE">
              <w:rPr>
                <w:rFonts w:ascii="Times New Roman" w:eastAsia="宋体" w:hAnsi="Times New Roman" w:cs="Times New Roman"/>
                <w:color w:val="000000" w:themeColor="text1"/>
                <w:sz w:val="24"/>
                <w:szCs w:val="24"/>
              </w:rPr>
              <w:t>适应证</w:t>
            </w:r>
          </w:p>
          <w:p w:rsidR="007A5BD9" w:rsidRPr="004A1DEE" w:rsidRDefault="006F57AF" w:rsidP="004A1DEE">
            <w:pPr>
              <w:tabs>
                <w:tab w:val="center" w:pos="4320"/>
                <w:tab w:val="right" w:pos="8640"/>
              </w:tabs>
              <w:spacing w:after="0"/>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1</w:t>
            </w:r>
            <w:r w:rsidRPr="004A1DEE">
              <w:rPr>
                <w:rFonts w:ascii="Times New Roman" w:eastAsia="宋体" w:hAnsi="Times New Roman" w:cs="Times New Roman"/>
                <w:color w:val="000000" w:themeColor="text1"/>
                <w:sz w:val="24"/>
                <w:szCs w:val="24"/>
              </w:rPr>
              <w:t>月以上</w:t>
            </w:r>
          </w:p>
        </w:tc>
        <w:tc>
          <w:tcPr>
            <w:tcW w:w="897" w:type="pct"/>
            <w:gridSpan w:val="2"/>
            <w:tcBorders>
              <w:top w:val="dashed" w:sz="2" w:space="0" w:color="auto"/>
              <w:left w:val="dashed" w:sz="2" w:space="0" w:color="auto"/>
              <w:bottom w:val="dashed" w:sz="2" w:space="0" w:color="auto"/>
              <w:right w:val="dashed" w:sz="2" w:space="0" w:color="auto"/>
            </w:tcBorders>
            <w:shd w:val="clear" w:color="auto" w:fill="auto"/>
            <w:vAlign w:val="center"/>
          </w:tcPr>
          <w:p w:rsidR="007A5BD9" w:rsidRPr="004A1DEE" w:rsidRDefault="006F57AF" w:rsidP="004A1DEE">
            <w:pPr>
              <w:tabs>
                <w:tab w:val="center" w:pos="4320"/>
                <w:tab w:val="right" w:pos="8640"/>
              </w:tabs>
              <w:spacing w:after="0"/>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FDA</w:t>
            </w:r>
            <w:r w:rsidRPr="004A1DEE">
              <w:rPr>
                <w:rFonts w:ascii="Times New Roman" w:eastAsia="宋体" w:hAnsi="Times New Roman" w:cs="Times New Roman"/>
                <w:color w:val="000000" w:themeColor="text1"/>
                <w:sz w:val="24"/>
                <w:szCs w:val="24"/>
              </w:rPr>
              <w:t>适应证</w:t>
            </w:r>
          </w:p>
          <w:p w:rsidR="007A5BD9" w:rsidRPr="004A1DEE" w:rsidRDefault="006F57AF" w:rsidP="004A1DEE">
            <w:pPr>
              <w:tabs>
                <w:tab w:val="center" w:pos="4320"/>
                <w:tab w:val="right" w:pos="8640"/>
              </w:tabs>
              <w:spacing w:after="0"/>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1</w:t>
            </w:r>
            <w:r w:rsidRPr="004A1DEE">
              <w:rPr>
                <w:rFonts w:ascii="Times New Roman" w:eastAsia="宋体" w:hAnsi="Times New Roman" w:cs="Times New Roman"/>
                <w:color w:val="000000" w:themeColor="text1"/>
                <w:sz w:val="24"/>
                <w:szCs w:val="24"/>
              </w:rPr>
              <w:t>岁以上</w:t>
            </w:r>
          </w:p>
        </w:tc>
        <w:tc>
          <w:tcPr>
            <w:tcW w:w="906" w:type="pct"/>
            <w:gridSpan w:val="2"/>
            <w:tcBorders>
              <w:top w:val="dashed" w:sz="2" w:space="0" w:color="auto"/>
              <w:left w:val="dashed" w:sz="2" w:space="0" w:color="auto"/>
              <w:bottom w:val="dashed" w:sz="2" w:space="0" w:color="auto"/>
              <w:right w:val="dashed" w:sz="2" w:space="0" w:color="auto"/>
            </w:tcBorders>
            <w:shd w:val="clear" w:color="auto" w:fill="auto"/>
            <w:vAlign w:val="center"/>
          </w:tcPr>
          <w:p w:rsidR="007A5BD9" w:rsidRPr="004A1DEE" w:rsidRDefault="006F57AF" w:rsidP="004A1DEE">
            <w:pPr>
              <w:tabs>
                <w:tab w:val="center" w:pos="4320"/>
                <w:tab w:val="right" w:pos="8640"/>
              </w:tabs>
              <w:spacing w:after="0"/>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FDA</w:t>
            </w:r>
            <w:r w:rsidRPr="004A1DEE">
              <w:rPr>
                <w:rFonts w:ascii="Times New Roman" w:eastAsia="宋体" w:hAnsi="Times New Roman" w:cs="Times New Roman"/>
                <w:color w:val="000000" w:themeColor="text1"/>
                <w:sz w:val="24"/>
                <w:szCs w:val="24"/>
              </w:rPr>
              <w:t>适应证</w:t>
            </w:r>
          </w:p>
          <w:p w:rsidR="007A5BD9" w:rsidRPr="004A1DEE" w:rsidRDefault="006F57AF" w:rsidP="004A1DEE">
            <w:pPr>
              <w:tabs>
                <w:tab w:val="center" w:pos="4320"/>
                <w:tab w:val="right" w:pos="8640"/>
              </w:tabs>
              <w:spacing w:after="0"/>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5</w:t>
            </w:r>
            <w:r w:rsidRPr="004A1DEE">
              <w:rPr>
                <w:rFonts w:ascii="Times New Roman" w:eastAsia="宋体" w:hAnsi="Times New Roman" w:cs="Times New Roman"/>
                <w:color w:val="000000" w:themeColor="text1"/>
                <w:sz w:val="24"/>
                <w:szCs w:val="24"/>
              </w:rPr>
              <w:t>岁以上</w:t>
            </w:r>
          </w:p>
        </w:tc>
        <w:tc>
          <w:tcPr>
            <w:tcW w:w="609" w:type="pct"/>
            <w:gridSpan w:val="2"/>
            <w:tcBorders>
              <w:top w:val="dashed" w:sz="2" w:space="0" w:color="auto"/>
              <w:left w:val="dashed" w:sz="2" w:space="0" w:color="auto"/>
              <w:bottom w:val="dashed" w:sz="2" w:space="0" w:color="auto"/>
              <w:right w:val="dashed" w:sz="2" w:space="0" w:color="auto"/>
            </w:tcBorders>
            <w:shd w:val="clear" w:color="auto" w:fill="auto"/>
            <w:vAlign w:val="center"/>
          </w:tcPr>
          <w:p w:rsidR="007A5BD9" w:rsidRPr="004A1DEE" w:rsidRDefault="006F57AF" w:rsidP="004A1DEE">
            <w:pPr>
              <w:tabs>
                <w:tab w:val="center" w:pos="4320"/>
                <w:tab w:val="right" w:pos="8640"/>
              </w:tabs>
              <w:spacing w:after="0"/>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不推荐使用</w:t>
            </w:r>
          </w:p>
        </w:tc>
        <w:tc>
          <w:tcPr>
            <w:tcW w:w="545" w:type="pct"/>
            <w:gridSpan w:val="2"/>
            <w:tcBorders>
              <w:top w:val="dashed" w:sz="2" w:space="0" w:color="auto"/>
              <w:left w:val="dashed" w:sz="2" w:space="0" w:color="auto"/>
              <w:bottom w:val="dashed" w:sz="2" w:space="0" w:color="auto"/>
            </w:tcBorders>
            <w:shd w:val="clear" w:color="auto" w:fill="auto"/>
            <w:vAlign w:val="center"/>
          </w:tcPr>
          <w:p w:rsidR="007A5BD9" w:rsidRPr="004A1DEE" w:rsidRDefault="006F57AF" w:rsidP="004A1DEE">
            <w:pPr>
              <w:tabs>
                <w:tab w:val="center" w:pos="4320"/>
                <w:tab w:val="right" w:pos="8640"/>
              </w:tabs>
              <w:spacing w:after="0"/>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婴幼儿禁用</w:t>
            </w:r>
          </w:p>
        </w:tc>
      </w:tr>
      <w:tr w:rsidR="007A5BD9" w:rsidRPr="004A1DEE" w:rsidTr="00295763">
        <w:trPr>
          <w:trHeight w:val="556"/>
        </w:trPr>
        <w:tc>
          <w:tcPr>
            <w:tcW w:w="434" w:type="pct"/>
            <w:tcBorders>
              <w:top w:val="dashed" w:sz="2" w:space="0" w:color="auto"/>
              <w:bottom w:val="dashed" w:sz="2" w:space="0" w:color="auto"/>
              <w:right w:val="dashed" w:sz="2" w:space="0" w:color="auto"/>
            </w:tcBorders>
            <w:shd w:val="clear" w:color="auto" w:fill="auto"/>
            <w:vAlign w:val="center"/>
          </w:tcPr>
          <w:p w:rsidR="007A5BD9" w:rsidRPr="004306C4" w:rsidRDefault="006F57AF">
            <w:pPr>
              <w:tabs>
                <w:tab w:val="center" w:pos="4320"/>
                <w:tab w:val="right" w:pos="8640"/>
              </w:tabs>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妊娠期</w:t>
            </w:r>
          </w:p>
        </w:tc>
        <w:tc>
          <w:tcPr>
            <w:tcW w:w="578" w:type="pct"/>
            <w:tcBorders>
              <w:top w:val="dashed" w:sz="2" w:space="0" w:color="auto"/>
              <w:left w:val="dashed" w:sz="2" w:space="0" w:color="auto"/>
              <w:bottom w:val="dashed" w:sz="2" w:space="0" w:color="auto"/>
              <w:right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利大于弊时使用</w:t>
            </w:r>
          </w:p>
        </w:tc>
        <w:tc>
          <w:tcPr>
            <w:tcW w:w="426" w:type="pct"/>
            <w:tcBorders>
              <w:top w:val="dashed" w:sz="2" w:space="0" w:color="auto"/>
              <w:left w:val="dashed" w:sz="2" w:space="0" w:color="auto"/>
              <w:bottom w:val="dashed" w:sz="2" w:space="0" w:color="auto"/>
              <w:right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可以使用</w:t>
            </w:r>
          </w:p>
        </w:tc>
        <w:tc>
          <w:tcPr>
            <w:tcW w:w="605" w:type="pct"/>
            <w:gridSpan w:val="2"/>
            <w:tcBorders>
              <w:top w:val="dashed" w:sz="2" w:space="0" w:color="auto"/>
              <w:left w:val="dashed" w:sz="2" w:space="0" w:color="auto"/>
              <w:bottom w:val="dashed" w:sz="2" w:space="0" w:color="auto"/>
              <w:right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慎用</w:t>
            </w:r>
          </w:p>
        </w:tc>
        <w:tc>
          <w:tcPr>
            <w:tcW w:w="897" w:type="pct"/>
            <w:gridSpan w:val="2"/>
            <w:tcBorders>
              <w:top w:val="dashed" w:sz="2" w:space="0" w:color="auto"/>
              <w:left w:val="dashed" w:sz="2" w:space="0" w:color="auto"/>
              <w:bottom w:val="dashed" w:sz="2" w:space="0" w:color="auto"/>
              <w:right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利大于弊时使用</w:t>
            </w:r>
          </w:p>
        </w:tc>
        <w:tc>
          <w:tcPr>
            <w:tcW w:w="906" w:type="pct"/>
            <w:gridSpan w:val="2"/>
            <w:tcBorders>
              <w:top w:val="dashed" w:sz="2" w:space="0" w:color="auto"/>
              <w:left w:val="dashed" w:sz="2" w:space="0" w:color="auto"/>
              <w:bottom w:val="dashed" w:sz="2" w:space="0" w:color="auto"/>
              <w:right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利大于弊时使用</w:t>
            </w:r>
          </w:p>
        </w:tc>
        <w:tc>
          <w:tcPr>
            <w:tcW w:w="609" w:type="pct"/>
            <w:gridSpan w:val="2"/>
            <w:tcBorders>
              <w:top w:val="dashed" w:sz="2" w:space="0" w:color="auto"/>
              <w:left w:val="dashed" w:sz="2" w:space="0" w:color="auto"/>
              <w:bottom w:val="dashed" w:sz="2" w:space="0" w:color="auto"/>
              <w:right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利大于弊时使用</w:t>
            </w:r>
          </w:p>
        </w:tc>
        <w:tc>
          <w:tcPr>
            <w:tcW w:w="545" w:type="pct"/>
            <w:gridSpan w:val="2"/>
            <w:tcBorders>
              <w:top w:val="dashed" w:sz="2" w:space="0" w:color="auto"/>
              <w:left w:val="dashed" w:sz="2" w:space="0" w:color="auto"/>
              <w:bottom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不建议</w:t>
            </w:r>
          </w:p>
        </w:tc>
      </w:tr>
      <w:tr w:rsidR="007A5BD9" w:rsidRPr="004A1DEE" w:rsidTr="00295763">
        <w:trPr>
          <w:trHeight w:val="610"/>
        </w:trPr>
        <w:tc>
          <w:tcPr>
            <w:tcW w:w="434" w:type="pct"/>
            <w:vMerge w:val="restart"/>
            <w:tcBorders>
              <w:top w:val="dashed" w:sz="2" w:space="0" w:color="auto"/>
              <w:bottom w:val="single" w:sz="4" w:space="0" w:color="auto"/>
              <w:right w:val="dashed" w:sz="2" w:space="0" w:color="auto"/>
            </w:tcBorders>
            <w:shd w:val="clear" w:color="auto" w:fill="auto"/>
            <w:vAlign w:val="center"/>
          </w:tcPr>
          <w:p w:rsidR="007A5BD9" w:rsidRPr="004306C4" w:rsidRDefault="006F57AF">
            <w:pPr>
              <w:tabs>
                <w:tab w:val="center" w:pos="4320"/>
                <w:tab w:val="right" w:pos="8640"/>
              </w:tabs>
              <w:rPr>
                <w:rFonts w:ascii="Times New Roman" w:eastAsia="宋体" w:hAnsi="Times New Roman" w:cs="Times New Roman"/>
                <w:b/>
                <w:bCs/>
                <w:color w:val="000000" w:themeColor="text1"/>
                <w:sz w:val="24"/>
                <w:szCs w:val="24"/>
              </w:rPr>
            </w:pPr>
            <w:r w:rsidRPr="004306C4">
              <w:rPr>
                <w:rFonts w:ascii="Times New Roman" w:eastAsia="宋体" w:hAnsi="Times New Roman" w:cs="Times New Roman"/>
                <w:b/>
                <w:bCs/>
                <w:color w:val="000000" w:themeColor="text1"/>
                <w:sz w:val="24"/>
                <w:szCs w:val="24"/>
              </w:rPr>
              <w:t>哺乳期</w:t>
            </w:r>
          </w:p>
        </w:tc>
        <w:tc>
          <w:tcPr>
            <w:tcW w:w="578" w:type="pct"/>
            <w:vMerge w:val="restart"/>
            <w:tcBorders>
              <w:top w:val="dashed" w:sz="2" w:space="0" w:color="auto"/>
              <w:left w:val="dashed" w:sz="2" w:space="0" w:color="auto"/>
              <w:bottom w:val="single" w:sz="4" w:space="0" w:color="auto"/>
              <w:right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暂停哺乳</w:t>
            </w:r>
          </w:p>
        </w:tc>
        <w:tc>
          <w:tcPr>
            <w:tcW w:w="426" w:type="pct"/>
            <w:vMerge w:val="restart"/>
            <w:tcBorders>
              <w:top w:val="dashed" w:sz="2" w:space="0" w:color="auto"/>
              <w:left w:val="dashed" w:sz="2" w:space="0" w:color="auto"/>
              <w:bottom w:val="single" w:sz="4" w:space="0" w:color="auto"/>
              <w:right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对婴儿影响较小</w:t>
            </w:r>
          </w:p>
        </w:tc>
        <w:tc>
          <w:tcPr>
            <w:tcW w:w="605" w:type="pct"/>
            <w:gridSpan w:val="2"/>
            <w:vMerge w:val="restart"/>
            <w:tcBorders>
              <w:top w:val="dashed" w:sz="2" w:space="0" w:color="auto"/>
              <w:left w:val="dashed" w:sz="2" w:space="0" w:color="auto"/>
              <w:bottom w:val="single" w:sz="4" w:space="0" w:color="auto"/>
              <w:right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暂停哺乳</w:t>
            </w:r>
          </w:p>
        </w:tc>
        <w:tc>
          <w:tcPr>
            <w:tcW w:w="897" w:type="pct"/>
            <w:gridSpan w:val="2"/>
            <w:vMerge w:val="restart"/>
            <w:tcBorders>
              <w:top w:val="dashed" w:sz="2" w:space="0" w:color="auto"/>
              <w:left w:val="dashed" w:sz="2" w:space="0" w:color="auto"/>
              <w:bottom w:val="single" w:sz="4" w:space="0" w:color="auto"/>
              <w:right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暂停哺乳</w:t>
            </w:r>
          </w:p>
        </w:tc>
        <w:tc>
          <w:tcPr>
            <w:tcW w:w="906" w:type="pct"/>
            <w:gridSpan w:val="2"/>
            <w:vMerge w:val="restart"/>
            <w:tcBorders>
              <w:top w:val="dashed" w:sz="2" w:space="0" w:color="auto"/>
              <w:left w:val="dashed" w:sz="2" w:space="0" w:color="auto"/>
              <w:bottom w:val="single" w:sz="4" w:space="0" w:color="auto"/>
              <w:right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暂停哺乳</w:t>
            </w:r>
          </w:p>
        </w:tc>
        <w:tc>
          <w:tcPr>
            <w:tcW w:w="609" w:type="pct"/>
            <w:gridSpan w:val="2"/>
            <w:vMerge w:val="restart"/>
            <w:tcBorders>
              <w:top w:val="dashed" w:sz="2" w:space="0" w:color="auto"/>
              <w:left w:val="dashed" w:sz="2" w:space="0" w:color="auto"/>
              <w:bottom w:val="single" w:sz="4" w:space="0" w:color="auto"/>
              <w:right w:val="dashed" w:sz="2"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暂停哺乳</w:t>
            </w:r>
          </w:p>
        </w:tc>
        <w:tc>
          <w:tcPr>
            <w:tcW w:w="545" w:type="pct"/>
            <w:gridSpan w:val="2"/>
            <w:vMerge w:val="restart"/>
            <w:tcBorders>
              <w:top w:val="dashed" w:sz="2" w:space="0" w:color="auto"/>
              <w:left w:val="dashed" w:sz="2" w:space="0" w:color="auto"/>
              <w:bottom w:val="single" w:sz="4" w:space="0" w:color="auto"/>
            </w:tcBorders>
            <w:shd w:val="clear" w:color="auto" w:fill="auto"/>
            <w:vAlign w:val="center"/>
          </w:tcPr>
          <w:p w:rsidR="007A5BD9" w:rsidRPr="004A1DEE" w:rsidRDefault="006F57AF">
            <w:pPr>
              <w:tabs>
                <w:tab w:val="center" w:pos="4320"/>
                <w:tab w:val="right" w:pos="8640"/>
              </w:tabs>
              <w:rPr>
                <w:rFonts w:ascii="Times New Roman" w:eastAsia="宋体" w:hAnsi="Times New Roman" w:cs="Times New Roman"/>
                <w:color w:val="000000" w:themeColor="text1"/>
                <w:sz w:val="24"/>
                <w:szCs w:val="24"/>
              </w:rPr>
            </w:pPr>
            <w:r w:rsidRPr="004A1DEE">
              <w:rPr>
                <w:rFonts w:ascii="Times New Roman" w:eastAsia="宋体" w:hAnsi="Times New Roman" w:cs="Times New Roman"/>
                <w:color w:val="000000" w:themeColor="text1"/>
                <w:sz w:val="24"/>
                <w:szCs w:val="24"/>
              </w:rPr>
              <w:t>暂停哺乳</w:t>
            </w:r>
          </w:p>
        </w:tc>
      </w:tr>
      <w:tr w:rsidR="007A5BD9" w:rsidRPr="004A1DEE" w:rsidTr="00295763">
        <w:trPr>
          <w:trHeight w:val="751"/>
        </w:trPr>
        <w:tc>
          <w:tcPr>
            <w:tcW w:w="434" w:type="pct"/>
            <w:vMerge/>
            <w:tcBorders>
              <w:top w:val="single" w:sz="4" w:space="0" w:color="auto"/>
              <w:bottom w:val="single" w:sz="4" w:space="0" w:color="auto"/>
              <w:right w:val="dashed" w:sz="2" w:space="0" w:color="auto"/>
            </w:tcBorders>
            <w:vAlign w:val="center"/>
          </w:tcPr>
          <w:p w:rsidR="007A5BD9" w:rsidRPr="004A1DEE" w:rsidRDefault="007A5BD9">
            <w:pPr>
              <w:rPr>
                <w:rFonts w:ascii="Times New Roman" w:eastAsia="宋体" w:hAnsi="Times New Roman" w:cs="Times New Roman"/>
                <w:bCs/>
                <w:color w:val="000000" w:themeColor="text1"/>
                <w:sz w:val="24"/>
                <w:szCs w:val="24"/>
              </w:rPr>
            </w:pPr>
          </w:p>
        </w:tc>
        <w:tc>
          <w:tcPr>
            <w:tcW w:w="578" w:type="pct"/>
            <w:vMerge/>
            <w:tcBorders>
              <w:top w:val="dashed" w:sz="2" w:space="0" w:color="auto"/>
              <w:left w:val="dashed" w:sz="2" w:space="0" w:color="auto"/>
              <w:bottom w:val="single" w:sz="4" w:space="0" w:color="auto"/>
              <w:right w:val="dashed" w:sz="2" w:space="0" w:color="auto"/>
            </w:tcBorders>
            <w:vAlign w:val="center"/>
          </w:tcPr>
          <w:p w:rsidR="007A5BD9" w:rsidRPr="004A1DEE" w:rsidRDefault="007A5BD9">
            <w:pPr>
              <w:rPr>
                <w:rFonts w:ascii="Times New Roman" w:eastAsia="宋体" w:hAnsi="Times New Roman" w:cs="Times New Roman"/>
                <w:color w:val="000000" w:themeColor="text1"/>
                <w:sz w:val="24"/>
                <w:szCs w:val="24"/>
              </w:rPr>
            </w:pPr>
          </w:p>
        </w:tc>
        <w:tc>
          <w:tcPr>
            <w:tcW w:w="426" w:type="pct"/>
            <w:vMerge/>
            <w:tcBorders>
              <w:top w:val="dashed" w:sz="2" w:space="0" w:color="auto"/>
              <w:left w:val="dashed" w:sz="2" w:space="0" w:color="auto"/>
              <w:bottom w:val="single" w:sz="4" w:space="0" w:color="auto"/>
              <w:right w:val="dashed" w:sz="2" w:space="0" w:color="auto"/>
            </w:tcBorders>
            <w:vAlign w:val="center"/>
          </w:tcPr>
          <w:p w:rsidR="007A5BD9" w:rsidRPr="004A1DEE" w:rsidRDefault="007A5BD9">
            <w:pPr>
              <w:rPr>
                <w:rFonts w:ascii="Times New Roman" w:eastAsia="宋体" w:hAnsi="Times New Roman" w:cs="Times New Roman"/>
                <w:color w:val="000000" w:themeColor="text1"/>
                <w:sz w:val="24"/>
                <w:szCs w:val="24"/>
              </w:rPr>
            </w:pPr>
          </w:p>
        </w:tc>
        <w:tc>
          <w:tcPr>
            <w:tcW w:w="605" w:type="pct"/>
            <w:gridSpan w:val="2"/>
            <w:vMerge/>
            <w:tcBorders>
              <w:top w:val="dashed" w:sz="2" w:space="0" w:color="auto"/>
              <w:left w:val="dashed" w:sz="2" w:space="0" w:color="auto"/>
              <w:bottom w:val="single" w:sz="4" w:space="0" w:color="auto"/>
              <w:right w:val="dashed" w:sz="2" w:space="0" w:color="auto"/>
            </w:tcBorders>
            <w:vAlign w:val="center"/>
          </w:tcPr>
          <w:p w:rsidR="007A5BD9" w:rsidRPr="004A1DEE" w:rsidRDefault="007A5BD9">
            <w:pPr>
              <w:rPr>
                <w:rFonts w:ascii="Times New Roman" w:eastAsia="宋体" w:hAnsi="Times New Roman" w:cs="Times New Roman"/>
                <w:color w:val="000000" w:themeColor="text1"/>
                <w:sz w:val="24"/>
                <w:szCs w:val="24"/>
              </w:rPr>
            </w:pPr>
          </w:p>
        </w:tc>
        <w:tc>
          <w:tcPr>
            <w:tcW w:w="897" w:type="pct"/>
            <w:gridSpan w:val="2"/>
            <w:vMerge/>
            <w:tcBorders>
              <w:top w:val="dashed" w:sz="2" w:space="0" w:color="auto"/>
              <w:left w:val="dashed" w:sz="2" w:space="0" w:color="auto"/>
              <w:bottom w:val="single" w:sz="4" w:space="0" w:color="auto"/>
              <w:right w:val="dashed" w:sz="2" w:space="0" w:color="auto"/>
            </w:tcBorders>
            <w:vAlign w:val="center"/>
          </w:tcPr>
          <w:p w:rsidR="007A5BD9" w:rsidRPr="004A1DEE" w:rsidRDefault="007A5BD9">
            <w:pPr>
              <w:rPr>
                <w:rFonts w:ascii="Times New Roman" w:eastAsia="宋体" w:hAnsi="Times New Roman" w:cs="Times New Roman"/>
                <w:color w:val="000000" w:themeColor="text1"/>
                <w:sz w:val="24"/>
                <w:szCs w:val="24"/>
              </w:rPr>
            </w:pPr>
          </w:p>
        </w:tc>
        <w:tc>
          <w:tcPr>
            <w:tcW w:w="906" w:type="pct"/>
            <w:gridSpan w:val="2"/>
            <w:vMerge/>
            <w:tcBorders>
              <w:top w:val="dashed" w:sz="2" w:space="0" w:color="auto"/>
              <w:left w:val="dashed" w:sz="2" w:space="0" w:color="auto"/>
              <w:bottom w:val="single" w:sz="4" w:space="0" w:color="auto"/>
              <w:right w:val="dashed" w:sz="2" w:space="0" w:color="auto"/>
            </w:tcBorders>
            <w:vAlign w:val="center"/>
          </w:tcPr>
          <w:p w:rsidR="007A5BD9" w:rsidRPr="004A1DEE" w:rsidRDefault="007A5BD9">
            <w:pPr>
              <w:rPr>
                <w:rFonts w:ascii="Times New Roman" w:eastAsia="宋体" w:hAnsi="Times New Roman" w:cs="Times New Roman"/>
                <w:color w:val="000000" w:themeColor="text1"/>
                <w:sz w:val="24"/>
                <w:szCs w:val="24"/>
              </w:rPr>
            </w:pPr>
          </w:p>
        </w:tc>
        <w:tc>
          <w:tcPr>
            <w:tcW w:w="609" w:type="pct"/>
            <w:gridSpan w:val="2"/>
            <w:vMerge/>
            <w:tcBorders>
              <w:top w:val="dashed" w:sz="2" w:space="0" w:color="auto"/>
              <w:left w:val="dashed" w:sz="2" w:space="0" w:color="auto"/>
              <w:bottom w:val="single" w:sz="4" w:space="0" w:color="auto"/>
              <w:right w:val="dashed" w:sz="2" w:space="0" w:color="auto"/>
            </w:tcBorders>
            <w:vAlign w:val="center"/>
          </w:tcPr>
          <w:p w:rsidR="007A5BD9" w:rsidRPr="004A1DEE" w:rsidRDefault="007A5BD9">
            <w:pPr>
              <w:rPr>
                <w:rFonts w:ascii="Times New Roman" w:eastAsia="宋体" w:hAnsi="Times New Roman" w:cs="Times New Roman"/>
                <w:color w:val="000000" w:themeColor="text1"/>
                <w:sz w:val="24"/>
                <w:szCs w:val="24"/>
              </w:rPr>
            </w:pPr>
          </w:p>
        </w:tc>
        <w:tc>
          <w:tcPr>
            <w:tcW w:w="545" w:type="pct"/>
            <w:gridSpan w:val="2"/>
            <w:vMerge/>
            <w:tcBorders>
              <w:top w:val="dashed" w:sz="2" w:space="0" w:color="auto"/>
              <w:left w:val="dashed" w:sz="2" w:space="0" w:color="auto"/>
              <w:bottom w:val="single" w:sz="4" w:space="0" w:color="auto"/>
            </w:tcBorders>
            <w:vAlign w:val="center"/>
          </w:tcPr>
          <w:p w:rsidR="007A5BD9" w:rsidRPr="004A1DEE" w:rsidRDefault="007A5BD9">
            <w:pPr>
              <w:rPr>
                <w:rFonts w:ascii="Times New Roman" w:eastAsia="宋体" w:hAnsi="Times New Roman" w:cs="Times New Roman"/>
                <w:color w:val="000000" w:themeColor="text1"/>
                <w:sz w:val="24"/>
                <w:szCs w:val="24"/>
              </w:rPr>
            </w:pPr>
          </w:p>
        </w:tc>
      </w:tr>
    </w:tbl>
    <w:p w:rsidR="007A5BD9" w:rsidRDefault="007A5BD9">
      <w:pPr>
        <w:rPr>
          <w:rFonts w:ascii="微软雅黑" w:eastAsia="微软雅黑" w:hAnsi="微软雅黑" w:cs="宋体"/>
          <w:b/>
        </w:rPr>
      </w:pPr>
    </w:p>
    <w:p w:rsidR="007A5BD9" w:rsidRPr="009D4CEC" w:rsidRDefault="00505282">
      <w:pPr>
        <w:rPr>
          <w:rFonts w:ascii="黑体" w:eastAsia="黑体" w:hAnsi="黑体" w:cs="宋体"/>
          <w:sz w:val="24"/>
          <w:szCs w:val="24"/>
        </w:rPr>
      </w:pPr>
      <w:r w:rsidRPr="009D4CEC">
        <w:rPr>
          <w:rFonts w:ascii="黑体" w:eastAsia="黑体" w:hAnsi="黑体" w:cs="宋体" w:hint="eastAsia"/>
          <w:sz w:val="24"/>
          <w:szCs w:val="24"/>
        </w:rPr>
        <w:t>4.6</w:t>
      </w:r>
      <w:r w:rsidR="00E3081F" w:rsidRPr="009D4CEC">
        <w:rPr>
          <w:rFonts w:ascii="黑体" w:eastAsia="黑体" w:hAnsi="黑体" w:cs="宋体" w:hint="eastAsia"/>
          <w:sz w:val="24"/>
          <w:szCs w:val="24"/>
        </w:rPr>
        <w:t xml:space="preserve">  </w:t>
      </w:r>
      <w:r w:rsidR="006F57AF" w:rsidRPr="009D4CEC">
        <w:rPr>
          <w:rFonts w:ascii="仿宋" w:eastAsia="仿宋" w:hAnsi="仿宋" w:cs="宋体" w:hint="eastAsia"/>
          <w:sz w:val="24"/>
          <w:szCs w:val="24"/>
        </w:rPr>
        <w:t>其它</w:t>
      </w:r>
    </w:p>
    <w:p w:rsidR="007A5BD9" w:rsidRPr="00E3081F" w:rsidRDefault="006F57AF" w:rsidP="00E3081F">
      <w:pPr>
        <w:spacing w:line="276" w:lineRule="auto"/>
        <w:ind w:firstLineChars="200" w:firstLine="480"/>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国内外多个肿瘤化疗止吐指南共识提及</w:t>
      </w:r>
      <w:r w:rsidRPr="00E3081F">
        <w:rPr>
          <w:rFonts w:ascii="Times New Roman" w:eastAsia="宋体" w:hAnsi="Times New Roman" w:cs="Times New Roman"/>
          <w:sz w:val="24"/>
          <w:szCs w:val="24"/>
        </w:rPr>
        <w:t>PPI</w:t>
      </w:r>
      <w:r w:rsidRPr="00E3081F">
        <w:rPr>
          <w:rFonts w:ascii="Times New Roman" w:eastAsia="宋体" w:hAnsi="Times New Roman" w:cs="Times New Roman"/>
          <w:sz w:val="24"/>
          <w:szCs w:val="24"/>
        </w:rPr>
        <w:t>可用于化疗呕吐的防治</w:t>
      </w:r>
      <w:r w:rsidRPr="00E3081F">
        <w:rPr>
          <w:rFonts w:ascii="Times New Roman" w:eastAsia="宋体" w:hAnsi="Times New Roman" w:cs="Times New Roman"/>
          <w:sz w:val="24"/>
          <w:szCs w:val="24"/>
          <w:vertAlign w:val="superscript"/>
        </w:rPr>
        <w:t>[57-59]</w:t>
      </w:r>
      <w:r w:rsidRPr="00E3081F">
        <w:rPr>
          <w:rFonts w:ascii="Times New Roman" w:eastAsia="宋体" w:hAnsi="Times New Roman" w:cs="Times New Roman"/>
          <w:sz w:val="24"/>
          <w:szCs w:val="24"/>
        </w:rPr>
        <w:t>，但基于目前的证据，不建议在常规化疗中使用</w:t>
      </w:r>
      <w:r w:rsidRPr="00E3081F">
        <w:rPr>
          <w:rFonts w:ascii="Times New Roman" w:eastAsia="宋体" w:hAnsi="Times New Roman" w:cs="Times New Roman"/>
          <w:sz w:val="24"/>
          <w:szCs w:val="24"/>
        </w:rPr>
        <w:t>PPI</w:t>
      </w:r>
      <w:r w:rsidRPr="00E3081F">
        <w:rPr>
          <w:rFonts w:ascii="Times New Roman" w:eastAsia="宋体" w:hAnsi="Times New Roman" w:cs="Times New Roman"/>
          <w:sz w:val="24"/>
          <w:szCs w:val="24"/>
        </w:rPr>
        <w:t>进行预防呕吐或可能发生的上消化道症状。若患者并发消化道症状可予短期</w:t>
      </w:r>
      <w:r w:rsidRPr="00E3081F">
        <w:rPr>
          <w:rFonts w:ascii="Times New Roman" w:eastAsia="宋体" w:hAnsi="Times New Roman" w:cs="Times New Roman"/>
          <w:sz w:val="24"/>
          <w:szCs w:val="24"/>
        </w:rPr>
        <w:t>PPI</w:t>
      </w:r>
      <w:r w:rsidRPr="00E3081F">
        <w:rPr>
          <w:rFonts w:ascii="Times New Roman" w:eastAsia="宋体" w:hAnsi="Times New Roman" w:cs="Times New Roman"/>
          <w:sz w:val="24"/>
          <w:szCs w:val="24"/>
        </w:rPr>
        <w:t>对症处理，且应尽量给予口服剂型；若继发消化道出血应在专科医生指导下作治疗性用药。</w:t>
      </w:r>
    </w:p>
    <w:bookmarkEnd w:id="0"/>
    <w:p w:rsidR="007A5BD9" w:rsidRDefault="007A5BD9">
      <w:pPr>
        <w:contextualSpacing/>
        <w:rPr>
          <w:rFonts w:ascii="微软雅黑" w:eastAsia="微软雅黑" w:hAnsi="微软雅黑" w:cs="宋体"/>
          <w:color w:val="FF0000"/>
          <w:sz w:val="16"/>
          <w:szCs w:val="16"/>
        </w:rPr>
      </w:pPr>
    </w:p>
    <w:p w:rsidR="007A5BD9" w:rsidRPr="00822978" w:rsidRDefault="006F57AF" w:rsidP="00E3081F">
      <w:pPr>
        <w:spacing w:after="0"/>
        <w:rPr>
          <w:rFonts w:ascii="黑体" w:eastAsia="黑体" w:hAnsi="黑体" w:cs="Times New Roman"/>
          <w:sz w:val="24"/>
          <w:szCs w:val="24"/>
        </w:rPr>
      </w:pPr>
      <w:r w:rsidRPr="00822978">
        <w:rPr>
          <w:rFonts w:ascii="黑体" w:eastAsia="黑体" w:hAnsi="黑体" w:cs="Times New Roman"/>
          <w:sz w:val="24"/>
          <w:szCs w:val="24"/>
        </w:rPr>
        <w:t>参考文献：</w:t>
      </w:r>
    </w:p>
    <w:p w:rsidR="007A5BD9" w:rsidRPr="00E3081F" w:rsidRDefault="006F57AF" w:rsidP="00484410">
      <w:pPr>
        <w:spacing w:after="0"/>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[1] Zeng W</w:t>
      </w:r>
      <w:r w:rsidR="00604E68">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 xml:space="preserve">A price and use comparison of generic versus originator cardiovascular medicines: a hospital study in Chongqing, </w:t>
      </w:r>
      <w:proofErr w:type="gramStart"/>
      <w:r w:rsidRPr="00E3081F">
        <w:rPr>
          <w:rFonts w:ascii="Times New Roman" w:eastAsia="宋体" w:hAnsi="Times New Roman" w:cs="Times New Roman"/>
          <w:color w:val="000000" w:themeColor="text1"/>
          <w:sz w:val="24"/>
          <w:szCs w:val="24"/>
        </w:rPr>
        <w:t>China[</w:t>
      </w:r>
      <w:proofErr w:type="gramEnd"/>
      <w:r w:rsidRPr="00E3081F">
        <w:rPr>
          <w:rFonts w:ascii="Times New Roman" w:eastAsia="宋体" w:hAnsi="Times New Roman" w:cs="Times New Roman"/>
          <w:color w:val="000000" w:themeColor="text1"/>
          <w:sz w:val="24"/>
          <w:szCs w:val="24"/>
        </w:rPr>
        <w:t>J].</w:t>
      </w:r>
      <w:r w:rsidR="00604E68">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BMC Health Services Research</w:t>
      </w:r>
      <w:r w:rsidR="00822978">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2013</w:t>
      </w:r>
      <w:proofErr w:type="gramStart"/>
      <w:r w:rsidR="00822978">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13</w:t>
      </w:r>
      <w:proofErr w:type="gramEnd"/>
      <w:r w:rsidRPr="00E3081F">
        <w:rPr>
          <w:rFonts w:ascii="Times New Roman" w:eastAsia="宋体" w:hAnsi="Times New Roman" w:cs="Times New Roman"/>
          <w:color w:val="000000" w:themeColor="text1"/>
          <w:sz w:val="24"/>
          <w:szCs w:val="24"/>
        </w:rPr>
        <w:t>(1):390.</w:t>
      </w:r>
    </w:p>
    <w:p w:rsidR="007A5BD9" w:rsidRPr="00E3081F" w:rsidRDefault="006F57AF" w:rsidP="00484410">
      <w:pPr>
        <w:spacing w:after="0"/>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 xml:space="preserve">[2] </w:t>
      </w:r>
      <w:proofErr w:type="spellStart"/>
      <w:r w:rsidRPr="00E3081F">
        <w:rPr>
          <w:rFonts w:ascii="Times New Roman" w:eastAsia="宋体" w:hAnsi="Times New Roman" w:cs="Times New Roman"/>
          <w:color w:val="000000" w:themeColor="text1"/>
          <w:sz w:val="24"/>
          <w:szCs w:val="24"/>
        </w:rPr>
        <w:t>Ajumobi</w:t>
      </w:r>
      <w:proofErr w:type="spellEnd"/>
      <w:r w:rsidRPr="00E3081F">
        <w:rPr>
          <w:rFonts w:ascii="Times New Roman" w:eastAsia="宋体" w:hAnsi="Times New Roman" w:cs="Times New Roman"/>
          <w:color w:val="000000" w:themeColor="text1"/>
          <w:sz w:val="24"/>
          <w:szCs w:val="24"/>
        </w:rPr>
        <w:t xml:space="preserve"> A</w:t>
      </w:r>
      <w:r w:rsidR="00822978">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B,</w:t>
      </w:r>
      <w:r w:rsidR="00822978">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Vuong</w:t>
      </w:r>
      <w:proofErr w:type="spellEnd"/>
      <w:r w:rsidRPr="00E3081F">
        <w:rPr>
          <w:rFonts w:ascii="Times New Roman" w:eastAsia="宋体" w:hAnsi="Times New Roman" w:cs="Times New Roman"/>
          <w:color w:val="000000" w:themeColor="text1"/>
          <w:sz w:val="24"/>
          <w:szCs w:val="24"/>
        </w:rPr>
        <w:t xml:space="preserve"> R, </w:t>
      </w:r>
      <w:proofErr w:type="spellStart"/>
      <w:r w:rsidRPr="00E3081F">
        <w:rPr>
          <w:rFonts w:ascii="Times New Roman" w:eastAsia="宋体" w:hAnsi="Times New Roman" w:cs="Times New Roman"/>
          <w:color w:val="000000" w:themeColor="text1"/>
          <w:sz w:val="24"/>
          <w:szCs w:val="24"/>
        </w:rPr>
        <w:t>Ahaneku</w:t>
      </w:r>
      <w:proofErr w:type="spellEnd"/>
      <w:r w:rsidRPr="00E3081F">
        <w:rPr>
          <w:rFonts w:ascii="Times New Roman" w:eastAsia="宋体" w:hAnsi="Times New Roman" w:cs="Times New Roman"/>
          <w:color w:val="000000" w:themeColor="text1"/>
          <w:sz w:val="24"/>
          <w:szCs w:val="24"/>
        </w:rPr>
        <w:t xml:space="preserve"> H. Analysis of </w:t>
      </w:r>
      <w:proofErr w:type="spellStart"/>
      <w:r w:rsidRPr="00E3081F">
        <w:rPr>
          <w:rFonts w:ascii="Times New Roman" w:eastAsia="宋体" w:hAnsi="Times New Roman" w:cs="Times New Roman"/>
          <w:color w:val="000000" w:themeColor="text1"/>
          <w:sz w:val="24"/>
          <w:szCs w:val="24"/>
        </w:rPr>
        <w:t>nonformulary</w:t>
      </w:r>
      <w:proofErr w:type="spellEnd"/>
      <w:r w:rsidRPr="00E3081F">
        <w:rPr>
          <w:rFonts w:ascii="Times New Roman" w:eastAsia="宋体" w:hAnsi="Times New Roman" w:cs="Times New Roman"/>
          <w:color w:val="000000" w:themeColor="text1"/>
          <w:sz w:val="24"/>
          <w:szCs w:val="24"/>
        </w:rPr>
        <w:t xml:space="preserve"> use of PPI and excess drug cost in a Veterans Affairs population[J]</w:t>
      </w:r>
      <w:r w:rsidR="00990D0D">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 xml:space="preserve"> J </w:t>
      </w:r>
      <w:proofErr w:type="spellStart"/>
      <w:r w:rsidRPr="00E3081F">
        <w:rPr>
          <w:rFonts w:ascii="Times New Roman" w:eastAsia="宋体" w:hAnsi="Times New Roman" w:cs="Times New Roman"/>
          <w:color w:val="000000" w:themeColor="text1"/>
          <w:sz w:val="24"/>
          <w:szCs w:val="24"/>
        </w:rPr>
        <w:t>Manag</w:t>
      </w:r>
      <w:proofErr w:type="spellEnd"/>
      <w:r w:rsidRPr="00E3081F">
        <w:rPr>
          <w:rFonts w:ascii="Times New Roman" w:eastAsia="宋体" w:hAnsi="Times New Roman" w:cs="Times New Roman"/>
          <w:color w:val="000000" w:themeColor="text1"/>
          <w:sz w:val="24"/>
          <w:szCs w:val="24"/>
        </w:rPr>
        <w:t xml:space="preserve"> Care Pharm. 2012</w:t>
      </w:r>
      <w:proofErr w:type="gramStart"/>
      <w:r w:rsidR="00822978">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18</w:t>
      </w:r>
      <w:proofErr w:type="gramEnd"/>
      <w:r w:rsidRPr="00E3081F">
        <w:rPr>
          <w:rFonts w:ascii="Times New Roman" w:eastAsia="宋体" w:hAnsi="Times New Roman" w:cs="Times New Roman"/>
          <w:color w:val="000000" w:themeColor="text1"/>
          <w:sz w:val="24"/>
          <w:szCs w:val="24"/>
        </w:rPr>
        <w:t>(1):63-67.</w:t>
      </w:r>
    </w:p>
    <w:p w:rsidR="007A5BD9" w:rsidRPr="00E3081F" w:rsidRDefault="006F57AF" w:rsidP="00484410">
      <w:pPr>
        <w:spacing w:after="0"/>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[3]</w:t>
      </w:r>
      <w:r w:rsidR="00822978">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张拥军</w:t>
      </w:r>
      <w:r w:rsidRPr="00E3081F">
        <w:rPr>
          <w:rFonts w:ascii="Times New Roman" w:eastAsia="宋体" w:hAnsi="Times New Roman" w:cs="Times New Roman"/>
          <w:color w:val="000000" w:themeColor="text1"/>
          <w:sz w:val="24"/>
          <w:szCs w:val="24"/>
        </w:rPr>
        <w:t>,</w:t>
      </w:r>
      <w:r w:rsidRPr="00E3081F">
        <w:rPr>
          <w:rFonts w:ascii="Times New Roman" w:eastAsia="宋体" w:hAnsi="Times New Roman" w:cs="Times New Roman"/>
          <w:color w:val="000000" w:themeColor="text1"/>
          <w:sz w:val="24"/>
          <w:szCs w:val="24"/>
        </w:rPr>
        <w:t>郭曙光</w:t>
      </w:r>
      <w:r w:rsidR="00822978">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方健等</w:t>
      </w:r>
      <w:r w:rsidRPr="00E3081F">
        <w:rPr>
          <w:rFonts w:ascii="Times New Roman" w:eastAsia="宋体" w:hAnsi="Times New Roman" w:cs="Times New Roman"/>
          <w:color w:val="000000" w:themeColor="text1"/>
          <w:sz w:val="24"/>
          <w:szCs w:val="24"/>
        </w:rPr>
        <w:t>.</w:t>
      </w:r>
      <w:r w:rsidRPr="00E3081F">
        <w:rPr>
          <w:rFonts w:ascii="Times New Roman" w:eastAsia="宋体" w:hAnsi="Times New Roman" w:cs="Times New Roman"/>
          <w:color w:val="000000" w:themeColor="text1"/>
          <w:sz w:val="24"/>
          <w:szCs w:val="24"/>
        </w:rPr>
        <w:t>住院患者质子泵抑制剂使用合理性分析</w:t>
      </w:r>
      <w:r w:rsidRPr="00E3081F">
        <w:rPr>
          <w:rFonts w:ascii="Times New Roman" w:eastAsia="宋体" w:hAnsi="Times New Roman" w:cs="Times New Roman"/>
          <w:color w:val="000000" w:themeColor="text1"/>
          <w:sz w:val="24"/>
          <w:szCs w:val="24"/>
        </w:rPr>
        <w:t>[J].</w:t>
      </w:r>
      <w:r w:rsidRPr="00E3081F">
        <w:rPr>
          <w:rFonts w:ascii="Times New Roman" w:eastAsia="宋体" w:hAnsi="Times New Roman" w:cs="Times New Roman"/>
          <w:color w:val="000000" w:themeColor="text1"/>
          <w:sz w:val="24"/>
          <w:szCs w:val="24"/>
        </w:rPr>
        <w:t>中国药业</w:t>
      </w:r>
      <w:r w:rsidR="00990D0D">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 xml:space="preserve"> 2017</w:t>
      </w:r>
      <w:r w:rsidR="00990D0D">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26(21):</w:t>
      </w:r>
      <w:proofErr w:type="gramStart"/>
      <w:r w:rsidRPr="00E3081F">
        <w:rPr>
          <w:rFonts w:ascii="Times New Roman" w:eastAsia="宋体" w:hAnsi="Times New Roman" w:cs="Times New Roman"/>
          <w:color w:val="000000" w:themeColor="text1"/>
          <w:sz w:val="24"/>
          <w:szCs w:val="24"/>
        </w:rPr>
        <w:t>82-84.</w:t>
      </w:r>
      <w:proofErr w:type="gramEnd"/>
    </w:p>
    <w:p w:rsidR="007A5BD9" w:rsidRPr="00E3081F" w:rsidRDefault="006F57AF" w:rsidP="00484410">
      <w:pPr>
        <w:spacing w:after="0"/>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[4]</w:t>
      </w:r>
      <w:r w:rsidR="00990D0D">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张石革</w:t>
      </w:r>
      <w:r w:rsidRPr="00E3081F">
        <w:rPr>
          <w:rFonts w:ascii="Times New Roman" w:eastAsia="宋体" w:hAnsi="Times New Roman" w:cs="Times New Roman"/>
          <w:color w:val="000000" w:themeColor="text1"/>
          <w:sz w:val="24"/>
          <w:szCs w:val="24"/>
        </w:rPr>
        <w:t xml:space="preserve">. </w:t>
      </w:r>
      <w:r w:rsidRPr="00E3081F">
        <w:rPr>
          <w:rFonts w:ascii="Times New Roman" w:eastAsia="宋体" w:hAnsi="Times New Roman" w:cs="Times New Roman"/>
          <w:color w:val="000000" w:themeColor="text1"/>
          <w:sz w:val="24"/>
          <w:szCs w:val="24"/>
        </w:rPr>
        <w:t>质子泵抑制剂临床应用的药学监护</w:t>
      </w:r>
      <w:r w:rsidRPr="00E3081F">
        <w:rPr>
          <w:rFonts w:ascii="Times New Roman" w:eastAsia="宋体" w:hAnsi="Times New Roman" w:cs="Times New Roman"/>
          <w:color w:val="000000" w:themeColor="text1"/>
          <w:sz w:val="24"/>
          <w:szCs w:val="24"/>
        </w:rPr>
        <w:t>[J].</w:t>
      </w:r>
      <w:r w:rsidRPr="00E3081F">
        <w:rPr>
          <w:rFonts w:ascii="Times New Roman" w:eastAsia="宋体" w:hAnsi="Times New Roman" w:cs="Times New Roman"/>
          <w:color w:val="000000" w:themeColor="text1"/>
          <w:sz w:val="24"/>
          <w:szCs w:val="24"/>
        </w:rPr>
        <w:t>中国执业药师</w:t>
      </w:r>
      <w:r w:rsidR="00990D0D">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 xml:space="preserve">2015,12(7): </w:t>
      </w:r>
      <w:proofErr w:type="gramStart"/>
      <w:r w:rsidRPr="00E3081F">
        <w:rPr>
          <w:rFonts w:ascii="Times New Roman" w:eastAsia="宋体" w:hAnsi="Times New Roman" w:cs="Times New Roman"/>
          <w:color w:val="000000" w:themeColor="text1"/>
          <w:sz w:val="24"/>
          <w:szCs w:val="24"/>
        </w:rPr>
        <w:t>31-37</w:t>
      </w:r>
      <w:r w:rsidR="00990D0D">
        <w:rPr>
          <w:rFonts w:ascii="Times New Roman" w:eastAsia="宋体" w:hAnsi="Times New Roman" w:cs="Times New Roman" w:hint="eastAsia"/>
          <w:color w:val="000000" w:themeColor="text1"/>
          <w:sz w:val="24"/>
          <w:szCs w:val="24"/>
        </w:rPr>
        <w:t>.</w:t>
      </w:r>
      <w:proofErr w:type="gramEnd"/>
    </w:p>
    <w:p w:rsidR="007A5BD9" w:rsidRPr="00E3081F" w:rsidRDefault="006F57AF" w:rsidP="00484410">
      <w:pPr>
        <w:spacing w:after="0"/>
        <w:contextualSpacing/>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[5]</w:t>
      </w:r>
      <w:r w:rsidR="00990D0D">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Scally</w:t>
      </w:r>
      <w:proofErr w:type="spellEnd"/>
      <w:r w:rsidRPr="00E3081F">
        <w:rPr>
          <w:rFonts w:ascii="Times New Roman" w:eastAsia="宋体" w:hAnsi="Times New Roman" w:cs="Times New Roman"/>
          <w:color w:val="000000" w:themeColor="text1"/>
          <w:sz w:val="24"/>
          <w:szCs w:val="24"/>
        </w:rPr>
        <w:t xml:space="preserve"> B, </w:t>
      </w:r>
      <w:proofErr w:type="spellStart"/>
      <w:r w:rsidRPr="00E3081F">
        <w:rPr>
          <w:rFonts w:ascii="Times New Roman" w:eastAsia="宋体" w:hAnsi="Times New Roman" w:cs="Times New Roman"/>
          <w:color w:val="000000" w:themeColor="text1"/>
          <w:sz w:val="24"/>
          <w:szCs w:val="24"/>
        </w:rPr>
        <w:t>Emberson</w:t>
      </w:r>
      <w:proofErr w:type="spellEnd"/>
      <w:r w:rsidRPr="00E3081F">
        <w:rPr>
          <w:rFonts w:ascii="Times New Roman" w:eastAsia="宋体" w:hAnsi="Times New Roman" w:cs="Times New Roman"/>
          <w:color w:val="000000" w:themeColor="text1"/>
          <w:sz w:val="24"/>
          <w:szCs w:val="24"/>
        </w:rPr>
        <w:t xml:space="preserve"> J</w:t>
      </w:r>
      <w:r w:rsidR="00990D0D">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 xml:space="preserve">R, </w:t>
      </w:r>
      <w:proofErr w:type="spellStart"/>
      <w:r w:rsidRPr="00E3081F">
        <w:rPr>
          <w:rFonts w:ascii="Times New Roman" w:eastAsia="宋体" w:hAnsi="Times New Roman" w:cs="Times New Roman"/>
          <w:color w:val="000000" w:themeColor="text1"/>
          <w:sz w:val="24"/>
          <w:szCs w:val="24"/>
        </w:rPr>
        <w:t>Spata</w:t>
      </w:r>
      <w:proofErr w:type="spellEnd"/>
      <w:r w:rsidRPr="00E3081F">
        <w:rPr>
          <w:rFonts w:ascii="Times New Roman" w:eastAsia="宋体" w:hAnsi="Times New Roman" w:cs="Times New Roman"/>
          <w:color w:val="000000" w:themeColor="text1"/>
          <w:sz w:val="24"/>
          <w:szCs w:val="24"/>
        </w:rPr>
        <w:t xml:space="preserve"> E,</w:t>
      </w:r>
      <w:r w:rsidRPr="00990D0D">
        <w:rPr>
          <w:rFonts w:ascii="Times New Roman" w:eastAsia="宋体" w:hAnsi="Times New Roman" w:cs="Times New Roman"/>
          <w:i/>
          <w:color w:val="000000" w:themeColor="text1"/>
          <w:sz w:val="24"/>
          <w:szCs w:val="24"/>
        </w:rPr>
        <w:t xml:space="preserve"> et al</w:t>
      </w:r>
      <w:r w:rsidRPr="00E3081F">
        <w:rPr>
          <w:rFonts w:ascii="Times New Roman" w:eastAsia="宋体" w:hAnsi="Times New Roman" w:cs="Times New Roman"/>
          <w:color w:val="000000" w:themeColor="text1"/>
          <w:sz w:val="24"/>
          <w:szCs w:val="24"/>
        </w:rPr>
        <w:t xml:space="preserve">. Effects of </w:t>
      </w:r>
      <w:proofErr w:type="spellStart"/>
      <w:r w:rsidRPr="00E3081F">
        <w:rPr>
          <w:rFonts w:ascii="Times New Roman" w:eastAsia="宋体" w:hAnsi="Times New Roman" w:cs="Times New Roman"/>
          <w:color w:val="000000" w:themeColor="text1"/>
          <w:sz w:val="24"/>
          <w:szCs w:val="24"/>
        </w:rPr>
        <w:t>gastroprotectant</w:t>
      </w:r>
      <w:proofErr w:type="spellEnd"/>
      <w:r w:rsidRPr="00E3081F">
        <w:rPr>
          <w:rFonts w:ascii="Times New Roman" w:eastAsia="宋体" w:hAnsi="Times New Roman" w:cs="Times New Roman"/>
          <w:color w:val="000000" w:themeColor="text1"/>
          <w:sz w:val="24"/>
          <w:szCs w:val="24"/>
        </w:rPr>
        <w:t xml:space="preserve"> drugs for the prevention and treatment of peptic ulcer disease and its complications: meta-analysis of </w:t>
      </w:r>
      <w:proofErr w:type="spellStart"/>
      <w:r w:rsidRPr="00E3081F">
        <w:rPr>
          <w:rFonts w:ascii="Times New Roman" w:eastAsia="宋体" w:hAnsi="Times New Roman" w:cs="Times New Roman"/>
          <w:color w:val="000000" w:themeColor="text1"/>
          <w:sz w:val="24"/>
          <w:szCs w:val="24"/>
        </w:rPr>
        <w:t>randomised</w:t>
      </w:r>
      <w:proofErr w:type="spellEnd"/>
      <w:r w:rsidRPr="00E3081F">
        <w:rPr>
          <w:rFonts w:ascii="Times New Roman" w:eastAsia="宋体" w:hAnsi="Times New Roman" w:cs="Times New Roman"/>
          <w:color w:val="000000" w:themeColor="text1"/>
          <w:sz w:val="24"/>
          <w:szCs w:val="24"/>
        </w:rPr>
        <w:t xml:space="preserve"> </w:t>
      </w:r>
      <w:proofErr w:type="gramStart"/>
      <w:r w:rsidRPr="00E3081F">
        <w:rPr>
          <w:rFonts w:ascii="Times New Roman" w:eastAsia="宋体" w:hAnsi="Times New Roman" w:cs="Times New Roman"/>
          <w:color w:val="000000" w:themeColor="text1"/>
          <w:sz w:val="24"/>
          <w:szCs w:val="24"/>
        </w:rPr>
        <w:t>trials</w:t>
      </w:r>
      <w:r w:rsidR="00116002">
        <w:rPr>
          <w:rFonts w:ascii="Times New Roman" w:eastAsia="仿宋_GB2312" w:hAnsi="Times New Roman" w:cs="Times New Roman" w:hint="eastAsia"/>
          <w:color w:val="000000" w:themeColor="text1"/>
          <w:sz w:val="24"/>
          <w:szCs w:val="24"/>
        </w:rPr>
        <w:t>[</w:t>
      </w:r>
      <w:proofErr w:type="gramEnd"/>
      <w:r w:rsidR="00116002">
        <w:rPr>
          <w:rFonts w:ascii="Times New Roman" w:eastAsia="仿宋_GB2312" w:hAnsi="Times New Roman" w:cs="Times New Roman" w:hint="eastAsia"/>
          <w:color w:val="000000" w:themeColor="text1"/>
          <w:sz w:val="24"/>
          <w:szCs w:val="24"/>
        </w:rPr>
        <w:t>J]</w:t>
      </w:r>
      <w:r w:rsidRPr="00E3081F">
        <w:rPr>
          <w:rFonts w:ascii="Times New Roman" w:eastAsia="宋体" w:hAnsi="Times New Roman" w:cs="Times New Roman"/>
          <w:color w:val="000000" w:themeColor="text1"/>
          <w:sz w:val="24"/>
          <w:szCs w:val="24"/>
        </w:rPr>
        <w:t xml:space="preserve">. </w:t>
      </w:r>
      <w:r w:rsidR="00484410">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 xml:space="preserve">Lancet </w:t>
      </w:r>
      <w:proofErr w:type="spellStart"/>
      <w:r w:rsidRPr="00E3081F">
        <w:rPr>
          <w:rFonts w:ascii="Times New Roman" w:eastAsia="宋体" w:hAnsi="Times New Roman" w:cs="Times New Roman"/>
          <w:color w:val="000000" w:themeColor="text1"/>
          <w:sz w:val="24"/>
          <w:szCs w:val="24"/>
        </w:rPr>
        <w:t>Gastroenterol</w:t>
      </w:r>
      <w:proofErr w:type="spellEnd"/>
      <w:r w:rsidR="00484410">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Hepatol</w:t>
      </w:r>
      <w:proofErr w:type="spellEnd"/>
      <w:r w:rsidR="00484410">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 xml:space="preserve"> 2018</w:t>
      </w:r>
      <w:r w:rsidR="00990D0D">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 xml:space="preserve"> 3</w:t>
      </w:r>
      <w:r w:rsidR="00990D0D">
        <w:rPr>
          <w:rFonts w:ascii="Times New Roman" w:eastAsia="宋体" w:hAnsi="Times New Roman" w:cs="Times New Roman" w:hint="eastAsia"/>
          <w:color w:val="000000" w:themeColor="text1"/>
          <w:sz w:val="24"/>
          <w:szCs w:val="24"/>
        </w:rPr>
        <w:t>(4):</w:t>
      </w:r>
      <w:r w:rsidRPr="00E3081F">
        <w:rPr>
          <w:rFonts w:ascii="Times New Roman" w:eastAsia="宋体" w:hAnsi="Times New Roman" w:cs="Times New Roman"/>
          <w:color w:val="000000" w:themeColor="text1"/>
          <w:sz w:val="24"/>
          <w:szCs w:val="24"/>
        </w:rPr>
        <w:t>231</w:t>
      </w:r>
      <w:r w:rsidR="00990D0D">
        <w:rPr>
          <w:rFonts w:ascii="Times New Roman" w:eastAsia="宋体" w:hAnsi="Times New Roman" w:cs="Times New Roman" w:hint="eastAsia"/>
          <w:color w:val="000000" w:themeColor="text1"/>
          <w:sz w:val="24"/>
          <w:szCs w:val="24"/>
        </w:rPr>
        <w:t>-2</w:t>
      </w:r>
      <w:r w:rsidRPr="00E3081F">
        <w:rPr>
          <w:rFonts w:ascii="Times New Roman" w:eastAsia="宋体" w:hAnsi="Times New Roman" w:cs="Times New Roman"/>
          <w:color w:val="000000" w:themeColor="text1"/>
          <w:sz w:val="24"/>
          <w:szCs w:val="24"/>
        </w:rPr>
        <w:t>41</w:t>
      </w:r>
      <w:r w:rsidR="00990D0D">
        <w:rPr>
          <w:rFonts w:ascii="Times New Roman" w:eastAsia="宋体" w:hAnsi="Times New Roman" w:cs="Times New Roman" w:hint="eastAsia"/>
          <w:color w:val="000000" w:themeColor="text1"/>
          <w:sz w:val="24"/>
          <w:szCs w:val="24"/>
        </w:rPr>
        <w:t>.</w:t>
      </w:r>
    </w:p>
    <w:p w:rsidR="007A5BD9" w:rsidRPr="00E3081F" w:rsidRDefault="006F57AF" w:rsidP="00484410">
      <w:pPr>
        <w:spacing w:after="0"/>
        <w:contextualSpacing/>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[6]</w:t>
      </w:r>
      <w:r w:rsidR="00990D0D">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Alhazzani</w:t>
      </w:r>
      <w:proofErr w:type="spellEnd"/>
      <w:r w:rsidRPr="00E3081F">
        <w:rPr>
          <w:rFonts w:ascii="Times New Roman" w:eastAsia="宋体" w:hAnsi="Times New Roman" w:cs="Times New Roman"/>
          <w:color w:val="000000" w:themeColor="text1"/>
          <w:sz w:val="24"/>
          <w:szCs w:val="24"/>
        </w:rPr>
        <w:t xml:space="preserve"> W, </w:t>
      </w:r>
      <w:proofErr w:type="spellStart"/>
      <w:r w:rsidRPr="00E3081F">
        <w:rPr>
          <w:rFonts w:ascii="Times New Roman" w:eastAsia="宋体" w:hAnsi="Times New Roman" w:cs="Times New Roman"/>
          <w:color w:val="000000" w:themeColor="text1"/>
          <w:sz w:val="24"/>
          <w:szCs w:val="24"/>
        </w:rPr>
        <w:t>Alshamsi</w:t>
      </w:r>
      <w:proofErr w:type="spellEnd"/>
      <w:r w:rsidRPr="00E3081F">
        <w:rPr>
          <w:rFonts w:ascii="Times New Roman" w:eastAsia="宋体" w:hAnsi="Times New Roman" w:cs="Times New Roman"/>
          <w:color w:val="000000" w:themeColor="text1"/>
          <w:sz w:val="24"/>
          <w:szCs w:val="24"/>
        </w:rPr>
        <w:t xml:space="preserve"> F. Efficacy and safety of stress ulcer prophylaxis in critically ill patients: a network meta-analysis of randomized </w:t>
      </w:r>
      <w:proofErr w:type="gramStart"/>
      <w:r w:rsidRPr="00E3081F">
        <w:rPr>
          <w:rFonts w:ascii="Times New Roman" w:eastAsia="宋体" w:hAnsi="Times New Roman" w:cs="Times New Roman"/>
          <w:color w:val="000000" w:themeColor="text1"/>
          <w:sz w:val="24"/>
          <w:szCs w:val="24"/>
        </w:rPr>
        <w:t>trials</w:t>
      </w:r>
      <w:r w:rsidR="00990D0D">
        <w:rPr>
          <w:rFonts w:ascii="Times New Roman" w:eastAsia="仿宋_GB2312" w:hAnsi="Times New Roman" w:cs="Times New Roman" w:hint="eastAsia"/>
          <w:color w:val="000000" w:themeColor="text1"/>
          <w:sz w:val="24"/>
          <w:szCs w:val="24"/>
        </w:rPr>
        <w:t>[</w:t>
      </w:r>
      <w:proofErr w:type="gramEnd"/>
      <w:r w:rsidR="00990D0D">
        <w:rPr>
          <w:rFonts w:ascii="Times New Roman" w:eastAsia="仿宋_GB2312" w:hAnsi="Times New Roman" w:cs="Times New Roman" w:hint="eastAsia"/>
          <w:color w:val="000000" w:themeColor="text1"/>
          <w:sz w:val="24"/>
          <w:szCs w:val="24"/>
        </w:rPr>
        <w:t>J]</w:t>
      </w:r>
      <w:r w:rsidRPr="00E3081F">
        <w:rPr>
          <w:rFonts w:ascii="Times New Roman" w:eastAsia="宋体" w:hAnsi="Times New Roman" w:cs="Times New Roman"/>
          <w:color w:val="000000" w:themeColor="text1"/>
          <w:sz w:val="24"/>
          <w:szCs w:val="24"/>
        </w:rPr>
        <w:t>. Intensive Care Med</w:t>
      </w:r>
      <w:r w:rsidR="00990D0D">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2018</w:t>
      </w:r>
      <w:r w:rsidR="00990D0D">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 xml:space="preserve"> 44(1):</w:t>
      </w:r>
      <w:r w:rsidR="00990D0D" w:rsidRPr="00990D0D">
        <w:rPr>
          <w:rFonts w:ascii="Times New Roman" w:eastAsia="宋体" w:hAnsi="Times New Roman" w:cs="Times New Roman"/>
          <w:color w:val="000000" w:themeColor="text1"/>
          <w:sz w:val="24"/>
          <w:szCs w:val="24"/>
        </w:rPr>
        <w:t xml:space="preserve"> </w:t>
      </w:r>
      <w:r w:rsidR="00990D0D" w:rsidRPr="00E3081F">
        <w:rPr>
          <w:rFonts w:ascii="Times New Roman" w:eastAsia="宋体" w:hAnsi="Times New Roman" w:cs="Times New Roman"/>
          <w:color w:val="000000" w:themeColor="text1"/>
          <w:sz w:val="24"/>
          <w:szCs w:val="24"/>
        </w:rPr>
        <w:t>1</w:t>
      </w:r>
      <w:r w:rsidR="00990D0D">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11</w:t>
      </w:r>
      <w:r w:rsidR="00990D0D">
        <w:rPr>
          <w:rFonts w:ascii="Times New Roman" w:eastAsia="宋体" w:hAnsi="Times New Roman" w:cs="Times New Roman" w:hint="eastAsia"/>
          <w:color w:val="000000" w:themeColor="text1"/>
          <w:sz w:val="24"/>
          <w:szCs w:val="24"/>
        </w:rPr>
        <w:t>.</w:t>
      </w:r>
    </w:p>
    <w:p w:rsidR="007A5BD9" w:rsidRPr="00E3081F" w:rsidRDefault="006F57AF" w:rsidP="00484410">
      <w:pPr>
        <w:spacing w:after="0"/>
        <w:contextualSpacing/>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[7] Kanchan T,</w:t>
      </w:r>
      <w:r w:rsidR="00990D0D">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Geriani</w:t>
      </w:r>
      <w:proofErr w:type="spellEnd"/>
      <w:r w:rsidRPr="00E3081F">
        <w:rPr>
          <w:rFonts w:ascii="Times New Roman" w:eastAsia="宋体" w:hAnsi="Times New Roman" w:cs="Times New Roman"/>
          <w:color w:val="000000" w:themeColor="text1"/>
          <w:sz w:val="24"/>
          <w:szCs w:val="24"/>
        </w:rPr>
        <w:t xml:space="preserve"> D. Curling’s ulcer</w:t>
      </w:r>
      <w:r w:rsidR="00990D0D">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Have these stress ulcers gone extinct</w:t>
      </w:r>
      <w:proofErr w:type="gramStart"/>
      <w:r w:rsidRPr="00E3081F">
        <w:rPr>
          <w:rFonts w:ascii="Times New Roman" w:eastAsia="宋体" w:hAnsi="Times New Roman" w:cs="Times New Roman"/>
          <w:color w:val="000000" w:themeColor="text1"/>
          <w:sz w:val="24"/>
          <w:szCs w:val="24"/>
        </w:rPr>
        <w:t>?[</w:t>
      </w:r>
      <w:proofErr w:type="gramEnd"/>
      <w:r w:rsidRPr="00E3081F">
        <w:rPr>
          <w:rFonts w:ascii="Times New Roman" w:eastAsia="宋体" w:hAnsi="Times New Roman" w:cs="Times New Roman"/>
          <w:color w:val="000000" w:themeColor="text1"/>
          <w:sz w:val="24"/>
          <w:szCs w:val="24"/>
        </w:rPr>
        <w:t>J]</w:t>
      </w:r>
      <w:r w:rsidR="00990D0D">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Burns</w:t>
      </w:r>
      <w:r w:rsidR="00990D0D">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 xml:space="preserve"> 2015</w:t>
      </w:r>
      <w:r w:rsidR="00990D0D">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 xml:space="preserve"> 41(1): 198-199.</w:t>
      </w:r>
    </w:p>
    <w:p w:rsidR="007A5BD9" w:rsidRPr="00E3081F" w:rsidRDefault="006F57AF" w:rsidP="002D7D9A">
      <w:pPr>
        <w:spacing w:after="0"/>
        <w:contextualSpacing/>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lastRenderedPageBreak/>
        <w:t>[8]</w:t>
      </w:r>
      <w:r w:rsidR="002D7D9A">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Kemp W</w:t>
      </w:r>
      <w:r w:rsidR="007379E5">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J,</w:t>
      </w:r>
      <w:r w:rsidR="007379E5">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Bashir A,</w:t>
      </w:r>
      <w:r w:rsidR="007379E5">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Dababneh</w:t>
      </w:r>
      <w:proofErr w:type="spellEnd"/>
      <w:r w:rsidRPr="00E3081F">
        <w:rPr>
          <w:rFonts w:ascii="Times New Roman" w:eastAsia="宋体" w:hAnsi="Times New Roman" w:cs="Times New Roman"/>
          <w:color w:val="000000" w:themeColor="text1"/>
          <w:sz w:val="24"/>
          <w:szCs w:val="24"/>
        </w:rPr>
        <w:t xml:space="preserve"> H,</w:t>
      </w:r>
      <w:r w:rsidR="007379E5">
        <w:rPr>
          <w:rFonts w:ascii="Times New Roman" w:eastAsia="宋体" w:hAnsi="Times New Roman" w:cs="Times New Roman" w:hint="eastAsia"/>
          <w:color w:val="000000" w:themeColor="text1"/>
          <w:sz w:val="24"/>
          <w:szCs w:val="24"/>
        </w:rPr>
        <w:t xml:space="preserve"> </w:t>
      </w:r>
      <w:r w:rsidRPr="007379E5">
        <w:rPr>
          <w:rFonts w:ascii="Times New Roman" w:eastAsia="宋体" w:hAnsi="Times New Roman" w:cs="Times New Roman"/>
          <w:i/>
          <w:color w:val="000000" w:themeColor="text1"/>
          <w:sz w:val="24"/>
          <w:szCs w:val="24"/>
        </w:rPr>
        <w:t>et al</w:t>
      </w:r>
      <w:r w:rsidRPr="00E3081F">
        <w:rPr>
          <w:rFonts w:ascii="Times New Roman" w:eastAsia="宋体" w:hAnsi="Times New Roman" w:cs="Times New Roman"/>
          <w:color w:val="000000" w:themeColor="text1"/>
          <w:sz w:val="24"/>
          <w:szCs w:val="24"/>
        </w:rPr>
        <w:t xml:space="preserve">. Cushing's ulcer: Further </w:t>
      </w:r>
      <w:proofErr w:type="gramStart"/>
      <w:r w:rsidRPr="00E3081F">
        <w:rPr>
          <w:rFonts w:ascii="Times New Roman" w:eastAsia="宋体" w:hAnsi="Times New Roman" w:cs="Times New Roman"/>
          <w:color w:val="000000" w:themeColor="text1"/>
          <w:sz w:val="24"/>
          <w:szCs w:val="24"/>
        </w:rPr>
        <w:t>reflections[</w:t>
      </w:r>
      <w:proofErr w:type="gramEnd"/>
      <w:r w:rsidRPr="00E3081F">
        <w:rPr>
          <w:rFonts w:ascii="Times New Roman" w:eastAsia="宋体" w:hAnsi="Times New Roman" w:cs="Times New Roman"/>
          <w:color w:val="000000" w:themeColor="text1"/>
          <w:sz w:val="24"/>
          <w:szCs w:val="24"/>
        </w:rPr>
        <w:t xml:space="preserve">J].Asian </w:t>
      </w:r>
      <w:proofErr w:type="spellStart"/>
      <w:r w:rsidRPr="00E3081F">
        <w:rPr>
          <w:rFonts w:ascii="Times New Roman" w:eastAsia="宋体" w:hAnsi="Times New Roman" w:cs="Times New Roman"/>
          <w:color w:val="000000" w:themeColor="text1"/>
          <w:sz w:val="24"/>
          <w:szCs w:val="24"/>
        </w:rPr>
        <w:t>JNeurosurg</w:t>
      </w:r>
      <w:proofErr w:type="spellEnd"/>
      <w:r w:rsidRPr="00E3081F">
        <w:rPr>
          <w:rFonts w:ascii="Times New Roman" w:eastAsia="宋体" w:hAnsi="Times New Roman" w:cs="Times New Roman"/>
          <w:color w:val="000000" w:themeColor="text1"/>
          <w:sz w:val="24"/>
          <w:szCs w:val="24"/>
        </w:rPr>
        <w:t>, 2015</w:t>
      </w:r>
      <w:r w:rsidR="007379E5">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10(2):87-94.</w:t>
      </w:r>
    </w:p>
    <w:p w:rsidR="007A5BD9" w:rsidRPr="00E3081F" w:rsidRDefault="006F57AF" w:rsidP="002D7D9A">
      <w:pPr>
        <w:spacing w:after="0"/>
        <w:contextualSpacing/>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[9] Wei</w:t>
      </w:r>
      <w:r w:rsidR="007379E5" w:rsidRPr="00E3081F">
        <w:rPr>
          <w:rFonts w:ascii="Times New Roman" w:eastAsia="宋体" w:hAnsi="Times New Roman" w:cs="Times New Roman"/>
          <w:color w:val="000000" w:themeColor="text1"/>
          <w:sz w:val="24"/>
          <w:szCs w:val="24"/>
        </w:rPr>
        <w:t xml:space="preserve"> J</w:t>
      </w:r>
      <w:r w:rsidR="007379E5">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Jiang R</w:t>
      </w:r>
      <w:r w:rsidR="007379E5">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C</w:t>
      </w:r>
      <w:proofErr w:type="gramStart"/>
      <w:r w:rsidR="007379E5">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Li</w:t>
      </w:r>
      <w:proofErr w:type="spellEnd"/>
      <w:proofErr w:type="gramEnd"/>
      <w:r w:rsidRPr="00E3081F">
        <w:rPr>
          <w:rFonts w:ascii="Times New Roman" w:eastAsia="宋体" w:hAnsi="Times New Roman" w:cs="Times New Roman"/>
          <w:color w:val="000000" w:themeColor="text1"/>
          <w:sz w:val="24"/>
          <w:szCs w:val="24"/>
        </w:rPr>
        <w:t xml:space="preserve"> L</w:t>
      </w:r>
      <w:r w:rsidR="007379E5">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H</w:t>
      </w:r>
      <w:r w:rsidR="007379E5">
        <w:rPr>
          <w:rFonts w:ascii="Times New Roman" w:eastAsia="宋体" w:hAnsi="Times New Roman" w:cs="Times New Roman" w:hint="eastAsia"/>
          <w:color w:val="000000" w:themeColor="text1"/>
          <w:sz w:val="24"/>
          <w:szCs w:val="24"/>
        </w:rPr>
        <w:t xml:space="preserve">, </w:t>
      </w:r>
      <w:r w:rsidRPr="007379E5">
        <w:rPr>
          <w:rFonts w:ascii="Times New Roman" w:eastAsia="宋体" w:hAnsi="Times New Roman" w:cs="Times New Roman"/>
          <w:i/>
          <w:color w:val="000000" w:themeColor="text1"/>
          <w:sz w:val="24"/>
          <w:szCs w:val="24"/>
        </w:rPr>
        <w:t>et a</w:t>
      </w:r>
      <w:r w:rsidR="007379E5">
        <w:rPr>
          <w:rFonts w:ascii="Times New Roman" w:eastAsia="宋体" w:hAnsi="Times New Roman" w:cs="Times New Roman" w:hint="eastAsia"/>
          <w:i/>
          <w:color w:val="000000" w:themeColor="text1"/>
          <w:sz w:val="24"/>
          <w:szCs w:val="24"/>
        </w:rPr>
        <w:t>l</w:t>
      </w:r>
      <w:r w:rsidRPr="00E3081F">
        <w:rPr>
          <w:rFonts w:ascii="Times New Roman" w:eastAsia="宋体" w:hAnsi="Times New Roman" w:cs="Times New Roman"/>
          <w:color w:val="000000" w:themeColor="text1"/>
          <w:sz w:val="24"/>
          <w:szCs w:val="24"/>
        </w:rPr>
        <w:t>.</w:t>
      </w:r>
      <w:r w:rsidR="007379E5">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 xml:space="preserve">Stress-related upper gastrointestinal bleeding in adult </w:t>
      </w:r>
      <w:proofErr w:type="spellStart"/>
      <w:r w:rsidRPr="00E3081F">
        <w:rPr>
          <w:rFonts w:ascii="Times New Roman" w:eastAsia="宋体" w:hAnsi="Times New Roman" w:cs="Times New Roman"/>
          <w:color w:val="000000" w:themeColor="text1"/>
          <w:sz w:val="24"/>
          <w:szCs w:val="24"/>
        </w:rPr>
        <w:t>neurocritical</w:t>
      </w:r>
      <w:proofErr w:type="spellEnd"/>
      <w:r w:rsidRPr="00E3081F">
        <w:rPr>
          <w:rFonts w:ascii="Times New Roman" w:eastAsia="宋体" w:hAnsi="Times New Roman" w:cs="Times New Roman"/>
          <w:color w:val="000000" w:themeColor="text1"/>
          <w:sz w:val="24"/>
          <w:szCs w:val="24"/>
        </w:rPr>
        <w:t xml:space="preserve"> care</w:t>
      </w:r>
      <w:r w:rsidR="007379E5">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patients: a Chinese multicenter, retrospective study[J]. Current Medical Research and Opinion, 2018</w:t>
      </w:r>
      <w:proofErr w:type="gramStart"/>
      <w:r w:rsidR="007379E5">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34</w:t>
      </w:r>
      <w:proofErr w:type="gramEnd"/>
      <w:r w:rsidR="007379E5">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8</w:t>
      </w:r>
      <w:r w:rsidR="007379E5">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1-7</w:t>
      </w:r>
      <w:r w:rsidR="007379E5">
        <w:rPr>
          <w:rFonts w:ascii="Times New Roman" w:eastAsia="宋体" w:hAnsi="Times New Roman" w:cs="Times New Roman" w:hint="eastAsia"/>
          <w:color w:val="000000" w:themeColor="text1"/>
          <w:sz w:val="24"/>
          <w:szCs w:val="24"/>
        </w:rPr>
        <w:t>.</w:t>
      </w:r>
    </w:p>
    <w:p w:rsidR="007A5BD9" w:rsidRPr="00E3081F" w:rsidRDefault="006F57AF" w:rsidP="002D7D9A">
      <w:pPr>
        <w:spacing w:after="0"/>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 xml:space="preserve">[10] </w:t>
      </w:r>
      <w:proofErr w:type="spellStart"/>
      <w:r w:rsidRPr="00E3081F">
        <w:rPr>
          <w:rFonts w:ascii="Times New Roman" w:eastAsia="宋体" w:hAnsi="Times New Roman" w:cs="Times New Roman"/>
          <w:color w:val="000000" w:themeColor="text1"/>
          <w:sz w:val="24"/>
          <w:szCs w:val="24"/>
        </w:rPr>
        <w:t>Buendgens</w:t>
      </w:r>
      <w:proofErr w:type="spellEnd"/>
      <w:r w:rsidRPr="00E3081F">
        <w:rPr>
          <w:rFonts w:ascii="Times New Roman" w:eastAsia="宋体" w:hAnsi="Times New Roman" w:cs="Times New Roman"/>
          <w:color w:val="000000" w:themeColor="text1"/>
          <w:sz w:val="24"/>
          <w:szCs w:val="24"/>
        </w:rPr>
        <w:t xml:space="preserve"> L,</w:t>
      </w:r>
      <w:r w:rsidR="002D7D9A">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 xml:space="preserve">Koch A, </w:t>
      </w:r>
      <w:proofErr w:type="spellStart"/>
      <w:r w:rsidRPr="00E3081F">
        <w:rPr>
          <w:rFonts w:ascii="Times New Roman" w:eastAsia="宋体" w:hAnsi="Times New Roman" w:cs="Times New Roman"/>
          <w:color w:val="000000" w:themeColor="text1"/>
          <w:sz w:val="24"/>
          <w:szCs w:val="24"/>
        </w:rPr>
        <w:t>Tacke</w:t>
      </w:r>
      <w:proofErr w:type="spellEnd"/>
      <w:r w:rsidRPr="00E3081F">
        <w:rPr>
          <w:rFonts w:ascii="Times New Roman" w:eastAsia="宋体" w:hAnsi="Times New Roman" w:cs="Times New Roman"/>
          <w:color w:val="000000" w:themeColor="text1"/>
          <w:sz w:val="24"/>
          <w:szCs w:val="24"/>
        </w:rPr>
        <w:t xml:space="preserve"> F.</w:t>
      </w:r>
      <w:r w:rsidR="002D7D9A">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 xml:space="preserve">Prevention of stress-related ulcer bleeding at the intensive care unit: Risks and benefits of stress ulcer </w:t>
      </w:r>
      <w:proofErr w:type="gramStart"/>
      <w:r w:rsidRPr="00E3081F">
        <w:rPr>
          <w:rFonts w:ascii="Times New Roman" w:eastAsia="宋体" w:hAnsi="Times New Roman" w:cs="Times New Roman"/>
          <w:color w:val="000000" w:themeColor="text1"/>
          <w:sz w:val="24"/>
          <w:szCs w:val="24"/>
        </w:rPr>
        <w:t>prophylaxis[</w:t>
      </w:r>
      <w:proofErr w:type="gramEnd"/>
      <w:r w:rsidRPr="00E3081F">
        <w:rPr>
          <w:rFonts w:ascii="Times New Roman" w:eastAsia="宋体" w:hAnsi="Times New Roman" w:cs="Times New Roman"/>
          <w:color w:val="000000" w:themeColor="text1"/>
          <w:sz w:val="24"/>
          <w:szCs w:val="24"/>
        </w:rPr>
        <w:t xml:space="preserve">J].World J </w:t>
      </w:r>
      <w:proofErr w:type="spellStart"/>
      <w:r w:rsidRPr="00E3081F">
        <w:rPr>
          <w:rFonts w:ascii="Times New Roman" w:eastAsia="宋体" w:hAnsi="Times New Roman" w:cs="Times New Roman"/>
          <w:color w:val="000000" w:themeColor="text1"/>
          <w:sz w:val="24"/>
          <w:szCs w:val="24"/>
        </w:rPr>
        <w:t>Crit</w:t>
      </w:r>
      <w:proofErr w:type="spellEnd"/>
      <w:r w:rsidRPr="00E3081F">
        <w:rPr>
          <w:rFonts w:ascii="Times New Roman" w:eastAsia="宋体" w:hAnsi="Times New Roman" w:cs="Times New Roman"/>
          <w:color w:val="000000" w:themeColor="text1"/>
          <w:sz w:val="24"/>
          <w:szCs w:val="24"/>
        </w:rPr>
        <w:t xml:space="preserve"> Care Med,2016,5(1):57-64</w:t>
      </w:r>
      <w:r w:rsidR="002D7D9A">
        <w:rPr>
          <w:rFonts w:ascii="Times New Roman" w:eastAsia="宋体" w:hAnsi="Times New Roman" w:cs="Times New Roman" w:hint="eastAsia"/>
          <w:color w:val="000000" w:themeColor="text1"/>
          <w:sz w:val="24"/>
          <w:szCs w:val="24"/>
        </w:rPr>
        <w:t>.</w:t>
      </w:r>
    </w:p>
    <w:p w:rsidR="007A5BD9" w:rsidRPr="00E3081F" w:rsidRDefault="006F57AF" w:rsidP="002D7D9A">
      <w:pPr>
        <w:spacing w:after="0"/>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[11]</w:t>
      </w:r>
      <w:r w:rsidR="002D7D9A">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中国医师协会急诊医师分会</w:t>
      </w:r>
      <w:r w:rsidRPr="00E3081F">
        <w:rPr>
          <w:rFonts w:ascii="Times New Roman" w:eastAsia="宋体" w:hAnsi="Times New Roman" w:cs="Times New Roman"/>
          <w:color w:val="000000" w:themeColor="text1"/>
          <w:sz w:val="24"/>
          <w:szCs w:val="24"/>
        </w:rPr>
        <w:t xml:space="preserve">. </w:t>
      </w:r>
      <w:r w:rsidRPr="00E3081F">
        <w:rPr>
          <w:rFonts w:ascii="Times New Roman" w:eastAsia="宋体" w:hAnsi="Times New Roman" w:cs="Times New Roman"/>
          <w:color w:val="000000" w:themeColor="text1"/>
          <w:sz w:val="24"/>
          <w:szCs w:val="24"/>
        </w:rPr>
        <w:t>中国急性胃黏膜病变急诊专家共识</w:t>
      </w:r>
      <w:r w:rsidRPr="00E3081F">
        <w:rPr>
          <w:rFonts w:ascii="Times New Roman" w:eastAsia="宋体" w:hAnsi="Times New Roman" w:cs="Times New Roman"/>
          <w:color w:val="000000" w:themeColor="text1"/>
          <w:sz w:val="24"/>
          <w:szCs w:val="24"/>
        </w:rPr>
        <w:t>[J].</w:t>
      </w:r>
      <w:r w:rsidRPr="00E3081F">
        <w:rPr>
          <w:rFonts w:ascii="Times New Roman" w:eastAsia="宋体" w:hAnsi="Times New Roman" w:cs="Times New Roman"/>
          <w:color w:val="000000" w:themeColor="text1"/>
          <w:sz w:val="24"/>
          <w:szCs w:val="24"/>
        </w:rPr>
        <w:t>中国急救医学</w:t>
      </w:r>
      <w:r w:rsidRPr="00E3081F">
        <w:rPr>
          <w:rFonts w:ascii="Times New Roman" w:eastAsia="宋体" w:hAnsi="Times New Roman" w:cs="Times New Roman"/>
          <w:color w:val="000000" w:themeColor="text1"/>
          <w:sz w:val="24"/>
          <w:szCs w:val="24"/>
        </w:rPr>
        <w:t>,2015</w:t>
      </w:r>
      <w:r w:rsidR="002D7D9A" w:rsidRPr="00E3081F">
        <w:rPr>
          <w:rFonts w:ascii="Times New Roman" w:eastAsia="宋体" w:hAnsi="Times New Roman" w:cs="Times New Roman"/>
          <w:color w:val="000000" w:themeColor="text1"/>
          <w:sz w:val="24"/>
          <w:szCs w:val="24"/>
        </w:rPr>
        <w:t xml:space="preserve"> </w:t>
      </w:r>
      <w:r w:rsidRPr="00E3081F">
        <w:rPr>
          <w:rFonts w:ascii="Times New Roman" w:eastAsia="宋体" w:hAnsi="Times New Roman" w:cs="Times New Roman"/>
          <w:color w:val="000000" w:themeColor="text1"/>
          <w:sz w:val="24"/>
          <w:szCs w:val="24"/>
        </w:rPr>
        <w:t>(9):</w:t>
      </w:r>
      <w:proofErr w:type="gramStart"/>
      <w:r w:rsidRPr="00E3081F">
        <w:rPr>
          <w:rFonts w:ascii="Times New Roman" w:eastAsia="宋体" w:hAnsi="Times New Roman" w:cs="Times New Roman"/>
          <w:color w:val="000000" w:themeColor="text1"/>
          <w:sz w:val="24"/>
          <w:szCs w:val="24"/>
        </w:rPr>
        <w:t>769-775.</w:t>
      </w:r>
      <w:proofErr w:type="gramEnd"/>
    </w:p>
    <w:p w:rsidR="007A5BD9" w:rsidRPr="00E3081F" w:rsidRDefault="006F57AF" w:rsidP="002D7D9A">
      <w:pPr>
        <w:spacing w:after="0"/>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[12]</w:t>
      </w:r>
      <w:r w:rsidR="002D7D9A">
        <w:rPr>
          <w:rFonts w:ascii="Times New Roman" w:eastAsia="宋体" w:hAnsi="Times New Roman" w:cs="Times New Roman" w:hint="eastAsia"/>
          <w:color w:val="000000" w:themeColor="text1"/>
          <w:sz w:val="24"/>
          <w:szCs w:val="24"/>
        </w:rPr>
        <w:t xml:space="preserve"> </w:t>
      </w:r>
      <w:proofErr w:type="gramStart"/>
      <w:r w:rsidRPr="00E3081F">
        <w:rPr>
          <w:rFonts w:ascii="Times New Roman" w:eastAsia="宋体" w:hAnsi="Times New Roman" w:cs="Times New Roman"/>
          <w:color w:val="000000" w:themeColor="text1"/>
          <w:sz w:val="24"/>
          <w:szCs w:val="24"/>
        </w:rPr>
        <w:t>柏愚</w:t>
      </w:r>
      <w:r w:rsidRPr="00E3081F">
        <w:rPr>
          <w:rFonts w:ascii="Times New Roman" w:eastAsia="宋体" w:hAnsi="Times New Roman" w:cs="Times New Roman"/>
          <w:color w:val="000000" w:themeColor="text1"/>
          <w:sz w:val="24"/>
          <w:szCs w:val="24"/>
        </w:rPr>
        <w:t>,</w:t>
      </w:r>
      <w:proofErr w:type="gramEnd"/>
      <w:r w:rsidRPr="00E3081F">
        <w:rPr>
          <w:rFonts w:ascii="Times New Roman" w:eastAsia="宋体" w:hAnsi="Times New Roman" w:cs="Times New Roman"/>
          <w:color w:val="000000" w:themeColor="text1"/>
          <w:sz w:val="24"/>
          <w:szCs w:val="24"/>
        </w:rPr>
        <w:t>李延青</w:t>
      </w:r>
      <w:r w:rsidRPr="00E3081F">
        <w:rPr>
          <w:rFonts w:ascii="Times New Roman" w:eastAsia="宋体" w:hAnsi="Times New Roman" w:cs="Times New Roman"/>
          <w:color w:val="000000" w:themeColor="text1"/>
          <w:sz w:val="24"/>
          <w:szCs w:val="24"/>
        </w:rPr>
        <w:t>,</w:t>
      </w:r>
      <w:r w:rsidRPr="00E3081F">
        <w:rPr>
          <w:rFonts w:ascii="Times New Roman" w:eastAsia="宋体" w:hAnsi="Times New Roman" w:cs="Times New Roman"/>
          <w:color w:val="000000" w:themeColor="text1"/>
          <w:sz w:val="24"/>
          <w:szCs w:val="24"/>
        </w:rPr>
        <w:t>任旭</w:t>
      </w:r>
      <w:r w:rsidRPr="00E3081F">
        <w:rPr>
          <w:rFonts w:ascii="Times New Roman" w:eastAsia="宋体" w:hAnsi="Times New Roman" w:cs="Times New Roman"/>
          <w:color w:val="000000" w:themeColor="text1"/>
          <w:sz w:val="24"/>
          <w:szCs w:val="24"/>
        </w:rPr>
        <w:t>,</w:t>
      </w:r>
      <w:r w:rsidRPr="00E3081F">
        <w:rPr>
          <w:rFonts w:ascii="Times New Roman" w:eastAsia="宋体" w:hAnsi="Times New Roman" w:cs="Times New Roman"/>
          <w:color w:val="000000" w:themeColor="text1"/>
          <w:sz w:val="24"/>
          <w:szCs w:val="24"/>
        </w:rPr>
        <w:t>等</w:t>
      </w:r>
      <w:r w:rsidRPr="00E3081F">
        <w:rPr>
          <w:rFonts w:ascii="Times New Roman" w:eastAsia="宋体" w:hAnsi="Times New Roman" w:cs="Times New Roman"/>
          <w:color w:val="000000" w:themeColor="text1"/>
          <w:sz w:val="24"/>
          <w:szCs w:val="24"/>
        </w:rPr>
        <w:t>.</w:t>
      </w:r>
      <w:r w:rsidRPr="00E3081F">
        <w:rPr>
          <w:rFonts w:ascii="Times New Roman" w:eastAsia="宋体" w:hAnsi="Times New Roman" w:cs="Times New Roman"/>
          <w:color w:val="000000" w:themeColor="text1"/>
          <w:sz w:val="24"/>
          <w:szCs w:val="24"/>
        </w:rPr>
        <w:t>应激性溃疡防治专家建议</w:t>
      </w:r>
      <w:r w:rsidRPr="00E3081F">
        <w:rPr>
          <w:rFonts w:ascii="Times New Roman" w:eastAsia="宋体" w:hAnsi="Times New Roman" w:cs="Times New Roman"/>
          <w:color w:val="000000" w:themeColor="text1"/>
          <w:sz w:val="24"/>
          <w:szCs w:val="24"/>
        </w:rPr>
        <w:t>(2015</w:t>
      </w:r>
      <w:r w:rsidRPr="00E3081F">
        <w:rPr>
          <w:rFonts w:ascii="Times New Roman" w:eastAsia="宋体" w:hAnsi="Times New Roman" w:cs="Times New Roman"/>
          <w:color w:val="000000" w:themeColor="text1"/>
          <w:sz w:val="24"/>
          <w:szCs w:val="24"/>
        </w:rPr>
        <w:t>版</w:t>
      </w:r>
      <w:r w:rsidRPr="00E3081F">
        <w:rPr>
          <w:rFonts w:ascii="Times New Roman" w:eastAsia="宋体" w:hAnsi="Times New Roman" w:cs="Times New Roman"/>
          <w:color w:val="000000" w:themeColor="text1"/>
          <w:sz w:val="24"/>
          <w:szCs w:val="24"/>
        </w:rPr>
        <w:t>)[J].</w:t>
      </w:r>
      <w:r w:rsidRPr="00E3081F">
        <w:rPr>
          <w:rFonts w:ascii="Times New Roman" w:eastAsia="宋体" w:hAnsi="Times New Roman" w:cs="Times New Roman"/>
          <w:color w:val="000000" w:themeColor="text1"/>
          <w:sz w:val="24"/>
          <w:szCs w:val="24"/>
        </w:rPr>
        <w:t>中华医学杂志</w:t>
      </w:r>
      <w:r w:rsidRPr="00E3081F">
        <w:rPr>
          <w:rFonts w:ascii="Times New Roman" w:eastAsia="宋体" w:hAnsi="Times New Roman" w:cs="Times New Roman"/>
          <w:color w:val="000000" w:themeColor="text1"/>
          <w:sz w:val="24"/>
          <w:szCs w:val="24"/>
        </w:rPr>
        <w:t>,2015,95(20):</w:t>
      </w:r>
      <w:proofErr w:type="gramStart"/>
      <w:r w:rsidRPr="00E3081F">
        <w:rPr>
          <w:rFonts w:ascii="Times New Roman" w:eastAsia="宋体" w:hAnsi="Times New Roman" w:cs="Times New Roman"/>
          <w:color w:val="000000" w:themeColor="text1"/>
          <w:sz w:val="24"/>
          <w:szCs w:val="24"/>
        </w:rPr>
        <w:t>1555-1557.</w:t>
      </w:r>
      <w:proofErr w:type="gramEnd"/>
    </w:p>
    <w:p w:rsidR="007A5BD9" w:rsidRPr="00E3081F" w:rsidRDefault="006F57AF" w:rsidP="002D7D9A">
      <w:pPr>
        <w:spacing w:after="0"/>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[13]</w:t>
      </w:r>
      <w:r w:rsidR="002D7D9A">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中国医学会外科会分会</w:t>
      </w:r>
      <w:r w:rsidRPr="00E3081F">
        <w:rPr>
          <w:rFonts w:ascii="Times New Roman" w:eastAsia="宋体" w:hAnsi="Times New Roman" w:cs="Times New Roman"/>
          <w:color w:val="000000" w:themeColor="text1"/>
          <w:sz w:val="24"/>
          <w:szCs w:val="24"/>
        </w:rPr>
        <w:t xml:space="preserve">. </w:t>
      </w:r>
      <w:r w:rsidRPr="00E3081F">
        <w:rPr>
          <w:rFonts w:ascii="Times New Roman" w:eastAsia="宋体" w:hAnsi="Times New Roman" w:cs="Times New Roman"/>
          <w:color w:val="000000" w:themeColor="text1"/>
          <w:sz w:val="24"/>
          <w:szCs w:val="24"/>
        </w:rPr>
        <w:t>应激性黏膜病变预防与治疗</w:t>
      </w:r>
      <w:r w:rsidRPr="00E3081F">
        <w:rPr>
          <w:rFonts w:ascii="Times New Roman" w:eastAsia="宋体" w:hAnsi="Times New Roman" w:cs="Times New Roman"/>
          <w:color w:val="000000" w:themeColor="text1"/>
          <w:sz w:val="24"/>
          <w:szCs w:val="24"/>
        </w:rPr>
        <w:t>-</w:t>
      </w:r>
      <w:r w:rsidRPr="00E3081F">
        <w:rPr>
          <w:rFonts w:ascii="Times New Roman" w:eastAsia="宋体" w:hAnsi="Times New Roman" w:cs="Times New Roman"/>
          <w:color w:val="000000" w:themeColor="text1"/>
          <w:sz w:val="24"/>
          <w:szCs w:val="24"/>
        </w:rPr>
        <w:t>中国普通外科专家共识（</w:t>
      </w:r>
      <w:r w:rsidRPr="00E3081F">
        <w:rPr>
          <w:rFonts w:ascii="Times New Roman" w:eastAsia="宋体" w:hAnsi="Times New Roman" w:cs="Times New Roman"/>
          <w:color w:val="000000" w:themeColor="text1"/>
          <w:sz w:val="24"/>
          <w:szCs w:val="24"/>
        </w:rPr>
        <w:t>2015</w:t>
      </w:r>
      <w:r w:rsidRPr="00E3081F">
        <w:rPr>
          <w:rFonts w:ascii="Times New Roman" w:eastAsia="宋体" w:hAnsi="Times New Roman" w:cs="Times New Roman"/>
          <w:color w:val="000000" w:themeColor="text1"/>
          <w:sz w:val="24"/>
          <w:szCs w:val="24"/>
        </w:rPr>
        <w:t>）</w:t>
      </w:r>
      <w:r w:rsidRPr="00E3081F">
        <w:rPr>
          <w:rFonts w:ascii="Times New Roman" w:eastAsia="宋体" w:hAnsi="Times New Roman" w:cs="Times New Roman"/>
          <w:color w:val="000000" w:themeColor="text1"/>
          <w:sz w:val="24"/>
          <w:szCs w:val="24"/>
        </w:rPr>
        <w:t>[J].</w:t>
      </w:r>
      <w:r w:rsidRPr="00E3081F">
        <w:rPr>
          <w:rFonts w:ascii="Times New Roman" w:eastAsia="宋体" w:hAnsi="Times New Roman" w:cs="Times New Roman"/>
          <w:color w:val="000000" w:themeColor="text1"/>
          <w:sz w:val="24"/>
          <w:szCs w:val="24"/>
        </w:rPr>
        <w:t>中国实用外科杂志</w:t>
      </w:r>
      <w:r w:rsidRPr="00E3081F">
        <w:rPr>
          <w:rFonts w:ascii="Times New Roman" w:eastAsia="宋体" w:hAnsi="Times New Roman" w:cs="Times New Roman"/>
          <w:color w:val="000000" w:themeColor="text1"/>
          <w:sz w:val="24"/>
          <w:szCs w:val="24"/>
        </w:rPr>
        <w:t>,2015</w:t>
      </w:r>
      <w:r w:rsidR="002D7D9A">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35(7):</w:t>
      </w:r>
      <w:proofErr w:type="gramStart"/>
      <w:r w:rsidRPr="00E3081F">
        <w:rPr>
          <w:rFonts w:ascii="Times New Roman" w:eastAsia="宋体" w:hAnsi="Times New Roman" w:cs="Times New Roman"/>
          <w:color w:val="000000" w:themeColor="text1"/>
          <w:sz w:val="24"/>
          <w:szCs w:val="24"/>
        </w:rPr>
        <w:t>728-730.</w:t>
      </w:r>
      <w:proofErr w:type="gramEnd"/>
    </w:p>
    <w:p w:rsidR="007A5BD9" w:rsidRPr="00E3081F" w:rsidRDefault="006F57AF" w:rsidP="002D7D9A">
      <w:pPr>
        <w:spacing w:after="0"/>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[14]</w:t>
      </w:r>
      <w:r w:rsidR="002D7D9A" w:rsidRPr="002D7D9A">
        <w:rPr>
          <w:rFonts w:ascii="Times New Roman" w:eastAsia="仿宋_GB2312" w:hAnsi="Times New Roman" w:cs="Times New Roman"/>
          <w:color w:val="000000" w:themeColor="text1"/>
          <w:sz w:val="24"/>
          <w:szCs w:val="24"/>
        </w:rPr>
        <w:t xml:space="preserve"> </w:t>
      </w:r>
      <w:r w:rsidR="002D7D9A" w:rsidRPr="0038411F">
        <w:rPr>
          <w:rFonts w:ascii="Times New Roman" w:eastAsia="仿宋_GB2312" w:hAnsi="Times New Roman" w:cs="Times New Roman"/>
          <w:color w:val="000000" w:themeColor="text1"/>
          <w:sz w:val="24"/>
          <w:szCs w:val="24"/>
        </w:rPr>
        <w:t>Barletta</w:t>
      </w:r>
      <w:r w:rsidR="002D7D9A">
        <w:rPr>
          <w:rFonts w:ascii="Times New Roman" w:eastAsia="仿宋_GB2312" w:hAnsi="Times New Roman" w:cs="Times New Roman" w:hint="eastAsia"/>
          <w:color w:val="000000" w:themeColor="text1"/>
          <w:sz w:val="24"/>
          <w:szCs w:val="24"/>
        </w:rPr>
        <w:t xml:space="preserve"> J F</w:t>
      </w:r>
      <w:r w:rsidR="002D7D9A" w:rsidRPr="0038411F">
        <w:rPr>
          <w:rFonts w:ascii="Times New Roman" w:eastAsia="仿宋_GB2312" w:hAnsi="Times New Roman" w:cs="Times New Roman"/>
          <w:color w:val="000000" w:themeColor="text1"/>
          <w:sz w:val="24"/>
          <w:szCs w:val="24"/>
        </w:rPr>
        <w:t>, Jeffrey F,</w:t>
      </w:r>
      <w:r w:rsidR="002D7D9A">
        <w:rPr>
          <w:rFonts w:ascii="Times New Roman" w:eastAsia="仿宋_GB2312" w:hAnsi="Times New Roman" w:cs="Times New Roman" w:hint="eastAsia"/>
          <w:color w:val="000000" w:themeColor="text1"/>
          <w:sz w:val="24"/>
          <w:szCs w:val="24"/>
        </w:rPr>
        <w:t xml:space="preserve"> </w:t>
      </w:r>
      <w:r w:rsidR="002D7D9A" w:rsidRPr="0038411F">
        <w:rPr>
          <w:rFonts w:ascii="Times New Roman" w:eastAsia="仿宋_GB2312" w:hAnsi="Times New Roman" w:cs="Times New Roman"/>
          <w:color w:val="000000" w:themeColor="text1"/>
          <w:sz w:val="24"/>
          <w:szCs w:val="24"/>
        </w:rPr>
        <w:t>Bruno J</w:t>
      </w:r>
      <w:r w:rsidR="002D7D9A">
        <w:rPr>
          <w:rFonts w:ascii="Times New Roman" w:eastAsia="仿宋_GB2312" w:hAnsi="Times New Roman" w:cs="Times New Roman" w:hint="eastAsia"/>
          <w:color w:val="000000" w:themeColor="text1"/>
          <w:sz w:val="24"/>
          <w:szCs w:val="24"/>
        </w:rPr>
        <w:t xml:space="preserve"> </w:t>
      </w:r>
      <w:proofErr w:type="spellStart"/>
      <w:r w:rsidR="002D7D9A" w:rsidRPr="0038411F">
        <w:rPr>
          <w:rFonts w:ascii="Times New Roman" w:eastAsia="仿宋_GB2312" w:hAnsi="Times New Roman" w:cs="Times New Roman"/>
          <w:color w:val="000000" w:themeColor="text1"/>
          <w:sz w:val="24"/>
          <w:szCs w:val="24"/>
        </w:rPr>
        <w:t>J</w:t>
      </w:r>
      <w:proofErr w:type="spellEnd"/>
      <w:r w:rsidR="002D7D9A" w:rsidRPr="0038411F">
        <w:rPr>
          <w:rFonts w:ascii="Times New Roman" w:eastAsia="仿宋_GB2312" w:hAnsi="Times New Roman" w:cs="Times New Roman"/>
          <w:color w:val="000000" w:themeColor="text1"/>
          <w:sz w:val="24"/>
          <w:szCs w:val="24"/>
        </w:rPr>
        <w:t>,</w:t>
      </w:r>
      <w:r w:rsidR="002D7D9A">
        <w:rPr>
          <w:rFonts w:ascii="Times New Roman" w:eastAsia="仿宋_GB2312" w:hAnsi="Times New Roman" w:cs="Times New Roman" w:hint="eastAsia"/>
          <w:color w:val="000000" w:themeColor="text1"/>
          <w:sz w:val="24"/>
          <w:szCs w:val="24"/>
        </w:rPr>
        <w:t xml:space="preserve"> </w:t>
      </w:r>
      <w:r w:rsidR="002D7D9A" w:rsidRPr="0038411F">
        <w:rPr>
          <w:rFonts w:ascii="Times New Roman" w:eastAsia="仿宋_GB2312" w:hAnsi="Times New Roman" w:cs="Times New Roman"/>
          <w:i/>
          <w:color w:val="000000" w:themeColor="text1"/>
          <w:sz w:val="24"/>
          <w:szCs w:val="24"/>
        </w:rPr>
        <w:t>et al</w:t>
      </w:r>
      <w:r w:rsidR="002D7D9A" w:rsidRPr="0038411F">
        <w:rPr>
          <w:rFonts w:ascii="Times New Roman" w:eastAsia="仿宋_GB2312" w:hAnsi="Times New Roman" w:cs="Times New Roman"/>
          <w:color w:val="000000" w:themeColor="text1"/>
          <w:sz w:val="24"/>
          <w:szCs w:val="24"/>
        </w:rPr>
        <w:t>.</w:t>
      </w:r>
      <w:r w:rsidR="002D7D9A">
        <w:rPr>
          <w:rFonts w:ascii="Times New Roman" w:eastAsia="仿宋_GB2312"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 xml:space="preserve">Stress Ulcer </w:t>
      </w:r>
      <w:proofErr w:type="gramStart"/>
      <w:r w:rsidRPr="00E3081F">
        <w:rPr>
          <w:rFonts w:ascii="Times New Roman" w:eastAsia="宋体" w:hAnsi="Times New Roman" w:cs="Times New Roman"/>
          <w:color w:val="000000" w:themeColor="text1"/>
          <w:sz w:val="24"/>
          <w:szCs w:val="24"/>
        </w:rPr>
        <w:t>Prophylaxis[</w:t>
      </w:r>
      <w:proofErr w:type="gramEnd"/>
      <w:r w:rsidRPr="00E3081F">
        <w:rPr>
          <w:rFonts w:ascii="Times New Roman" w:eastAsia="宋体" w:hAnsi="Times New Roman" w:cs="Times New Roman"/>
          <w:color w:val="000000" w:themeColor="text1"/>
          <w:sz w:val="24"/>
          <w:szCs w:val="24"/>
        </w:rPr>
        <w:t>J]. Critical Care Medicine</w:t>
      </w:r>
      <w:proofErr w:type="gramStart"/>
      <w:r w:rsidR="002D7D9A">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2016</w:t>
      </w:r>
      <w:r w:rsidR="002D7D9A">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44</w:t>
      </w:r>
      <w:proofErr w:type="gramEnd"/>
      <w:r w:rsidRPr="00E3081F">
        <w:rPr>
          <w:rFonts w:ascii="Times New Roman" w:eastAsia="宋体" w:hAnsi="Times New Roman" w:cs="Times New Roman"/>
          <w:color w:val="000000" w:themeColor="text1"/>
          <w:sz w:val="24"/>
          <w:szCs w:val="24"/>
        </w:rPr>
        <w:t>(7):1395-1405.</w:t>
      </w:r>
    </w:p>
    <w:p w:rsidR="007A5BD9" w:rsidRPr="00E3081F" w:rsidRDefault="006F57AF" w:rsidP="00F80024">
      <w:pPr>
        <w:spacing w:after="0"/>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[15] Sung J</w:t>
      </w:r>
      <w:r w:rsidR="002D7D9A">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J</w:t>
      </w:r>
      <w:proofErr w:type="spellEnd"/>
      <w:r w:rsidRPr="00E3081F">
        <w:rPr>
          <w:rFonts w:ascii="Times New Roman" w:eastAsia="宋体" w:hAnsi="Times New Roman" w:cs="Times New Roman"/>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Barkun</w:t>
      </w:r>
      <w:proofErr w:type="spellEnd"/>
      <w:r w:rsidRPr="00E3081F">
        <w:rPr>
          <w:rFonts w:ascii="Times New Roman" w:eastAsia="宋体" w:hAnsi="Times New Roman" w:cs="Times New Roman"/>
          <w:color w:val="000000" w:themeColor="text1"/>
          <w:sz w:val="24"/>
          <w:szCs w:val="24"/>
        </w:rPr>
        <w:t xml:space="preserve"> A,</w:t>
      </w:r>
      <w:r w:rsidRPr="00E3081F">
        <w:rPr>
          <w:rFonts w:ascii="Times New Roman" w:eastAsia="宋体" w:hAnsi="Times New Roman" w:cs="Times New Roman"/>
          <w:bCs/>
          <w:color w:val="000000" w:themeColor="text1"/>
          <w:sz w:val="24"/>
          <w:szCs w:val="24"/>
        </w:rPr>
        <w:t xml:space="preserve"> </w:t>
      </w:r>
      <w:proofErr w:type="spellStart"/>
      <w:r w:rsidRPr="00E3081F">
        <w:rPr>
          <w:rFonts w:ascii="Times New Roman" w:eastAsia="宋体" w:hAnsi="Times New Roman" w:cs="Times New Roman"/>
          <w:bCs/>
          <w:color w:val="000000" w:themeColor="text1"/>
          <w:sz w:val="24"/>
          <w:szCs w:val="24"/>
        </w:rPr>
        <w:t>Kuipers</w:t>
      </w:r>
      <w:proofErr w:type="spellEnd"/>
      <w:r w:rsidRPr="00E3081F">
        <w:rPr>
          <w:rFonts w:ascii="Times New Roman" w:eastAsia="宋体" w:hAnsi="Times New Roman" w:cs="Times New Roman"/>
          <w:bCs/>
          <w:color w:val="000000" w:themeColor="text1"/>
          <w:sz w:val="24"/>
          <w:szCs w:val="24"/>
        </w:rPr>
        <w:t xml:space="preserve"> E</w:t>
      </w:r>
      <w:r w:rsidR="002D7D9A">
        <w:rPr>
          <w:rFonts w:ascii="Times New Roman" w:eastAsia="宋体" w:hAnsi="Times New Roman" w:cs="Times New Roman" w:hint="eastAsia"/>
          <w:bCs/>
          <w:color w:val="000000" w:themeColor="text1"/>
          <w:sz w:val="24"/>
          <w:szCs w:val="24"/>
        </w:rPr>
        <w:t xml:space="preserve"> </w:t>
      </w:r>
      <w:r w:rsidRPr="00E3081F">
        <w:rPr>
          <w:rFonts w:ascii="Times New Roman" w:eastAsia="宋体" w:hAnsi="Times New Roman" w:cs="Times New Roman"/>
          <w:bCs/>
          <w:color w:val="000000" w:themeColor="text1"/>
          <w:sz w:val="24"/>
          <w:szCs w:val="24"/>
        </w:rPr>
        <w:t>J,</w:t>
      </w:r>
      <w:r w:rsidR="002D7D9A">
        <w:rPr>
          <w:rFonts w:ascii="Times New Roman" w:eastAsia="宋体" w:hAnsi="Times New Roman" w:cs="Times New Roman" w:hint="eastAsia"/>
          <w:bCs/>
          <w:color w:val="000000" w:themeColor="text1"/>
          <w:sz w:val="24"/>
          <w:szCs w:val="24"/>
        </w:rPr>
        <w:t xml:space="preserve"> </w:t>
      </w:r>
      <w:r w:rsidRPr="002D7D9A">
        <w:rPr>
          <w:rFonts w:ascii="Times New Roman" w:eastAsia="宋体" w:hAnsi="Times New Roman" w:cs="Times New Roman"/>
          <w:i/>
          <w:color w:val="000000" w:themeColor="text1"/>
          <w:sz w:val="24"/>
          <w:szCs w:val="24"/>
        </w:rPr>
        <w:t>et al</w:t>
      </w:r>
      <w:r w:rsidRPr="00E3081F">
        <w:rPr>
          <w:rFonts w:ascii="Times New Roman" w:eastAsia="宋体" w:hAnsi="Times New Roman" w:cs="Times New Roman"/>
          <w:color w:val="000000" w:themeColor="text1"/>
          <w:sz w:val="24"/>
          <w:szCs w:val="24"/>
        </w:rPr>
        <w:t xml:space="preserve">. Intravenous Esomeprazole for Prevention of Recurrent Peptic Ulcer </w:t>
      </w:r>
      <w:proofErr w:type="gramStart"/>
      <w:r w:rsidRPr="00E3081F">
        <w:rPr>
          <w:rFonts w:ascii="Times New Roman" w:eastAsia="宋体" w:hAnsi="Times New Roman" w:cs="Times New Roman"/>
          <w:color w:val="000000" w:themeColor="text1"/>
          <w:sz w:val="24"/>
          <w:szCs w:val="24"/>
        </w:rPr>
        <w:t>Bleeding[</w:t>
      </w:r>
      <w:proofErr w:type="gramEnd"/>
      <w:r w:rsidRPr="00E3081F">
        <w:rPr>
          <w:rFonts w:ascii="Times New Roman" w:eastAsia="宋体" w:hAnsi="Times New Roman" w:cs="Times New Roman"/>
          <w:color w:val="000000" w:themeColor="text1"/>
          <w:sz w:val="24"/>
          <w:szCs w:val="24"/>
        </w:rPr>
        <w:t>J].Ann Intern Med</w:t>
      </w:r>
      <w:r w:rsidR="002D7D9A">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2009</w:t>
      </w:r>
      <w:r w:rsidR="002D7D9A">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150(7):455-464.</w:t>
      </w:r>
    </w:p>
    <w:p w:rsidR="007A5BD9" w:rsidRPr="00E3081F" w:rsidRDefault="006F57AF" w:rsidP="00F80024">
      <w:pPr>
        <w:spacing w:after="0"/>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[16]</w:t>
      </w:r>
      <w:r w:rsidR="002D7D9A">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Bai Y,</w:t>
      </w:r>
      <w:r w:rsidR="002D7D9A">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Chen D</w:t>
      </w:r>
      <w:r w:rsidR="002D7D9A">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F,</w:t>
      </w:r>
      <w:r w:rsidR="002D7D9A">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Wang R</w:t>
      </w:r>
      <w:r w:rsidR="002D7D9A">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Q,</w:t>
      </w:r>
      <w:r w:rsidR="002D7D9A" w:rsidRPr="002D7D9A">
        <w:rPr>
          <w:rFonts w:ascii="Times New Roman" w:eastAsia="宋体" w:hAnsi="Times New Roman" w:cs="Times New Roman" w:hint="eastAsia"/>
          <w:i/>
          <w:color w:val="000000" w:themeColor="text1"/>
          <w:sz w:val="24"/>
          <w:szCs w:val="24"/>
        </w:rPr>
        <w:t xml:space="preserve"> </w:t>
      </w:r>
      <w:r w:rsidRPr="002D7D9A">
        <w:rPr>
          <w:rFonts w:ascii="Times New Roman" w:eastAsia="宋体" w:hAnsi="Times New Roman" w:cs="Times New Roman"/>
          <w:i/>
          <w:color w:val="000000" w:themeColor="text1"/>
          <w:sz w:val="24"/>
          <w:szCs w:val="24"/>
        </w:rPr>
        <w:t>et al</w:t>
      </w:r>
      <w:r w:rsidRPr="00E3081F">
        <w:rPr>
          <w:rFonts w:ascii="Times New Roman" w:eastAsia="宋体" w:hAnsi="Times New Roman" w:cs="Times New Roman"/>
          <w:color w:val="000000" w:themeColor="text1"/>
          <w:sz w:val="24"/>
          <w:szCs w:val="24"/>
        </w:rPr>
        <w:t xml:space="preserve">. Intravenous Esomeprazole for Prevention of Peptic Ulcer </w:t>
      </w:r>
      <w:proofErr w:type="spellStart"/>
      <w:r w:rsidRPr="00E3081F">
        <w:rPr>
          <w:rFonts w:ascii="Times New Roman" w:eastAsia="宋体" w:hAnsi="Times New Roman" w:cs="Times New Roman"/>
          <w:color w:val="000000" w:themeColor="text1"/>
          <w:sz w:val="24"/>
          <w:szCs w:val="24"/>
        </w:rPr>
        <w:t>Rebleeding</w:t>
      </w:r>
      <w:proofErr w:type="spellEnd"/>
      <w:r w:rsidRPr="00E3081F">
        <w:rPr>
          <w:rFonts w:ascii="Times New Roman" w:eastAsia="宋体" w:hAnsi="Times New Roman" w:cs="Times New Roman"/>
          <w:color w:val="000000" w:themeColor="text1"/>
          <w:sz w:val="24"/>
          <w:szCs w:val="24"/>
        </w:rPr>
        <w:t>: A Randomized Trial in Chinese Patients[J].</w:t>
      </w:r>
      <w:proofErr w:type="spellStart"/>
      <w:r w:rsidRPr="00E3081F">
        <w:rPr>
          <w:rFonts w:ascii="Times New Roman" w:eastAsia="宋体" w:hAnsi="Times New Roman" w:cs="Times New Roman"/>
          <w:color w:val="000000" w:themeColor="text1"/>
          <w:sz w:val="24"/>
          <w:szCs w:val="24"/>
        </w:rPr>
        <w:t>Adv</w:t>
      </w:r>
      <w:proofErr w:type="spellEnd"/>
      <w:r w:rsidRPr="00E3081F">
        <w:rPr>
          <w:rFonts w:ascii="Times New Roman" w:eastAsia="宋体" w:hAnsi="Times New Roman" w:cs="Times New Roman"/>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Ther</w:t>
      </w:r>
      <w:proofErr w:type="spellEnd"/>
      <w:r w:rsidRPr="00E3081F">
        <w:rPr>
          <w:rFonts w:ascii="Times New Roman" w:eastAsia="宋体" w:hAnsi="Times New Roman" w:cs="Times New Roman"/>
          <w:color w:val="000000" w:themeColor="text1"/>
          <w:sz w:val="24"/>
          <w:szCs w:val="24"/>
        </w:rPr>
        <w:t xml:space="preserve"> </w:t>
      </w:r>
      <w:r w:rsidR="002D7D9A">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2015</w:t>
      </w:r>
      <w:r w:rsidR="002D7D9A">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32(11):1160-1176.</w:t>
      </w:r>
    </w:p>
    <w:p w:rsidR="007A5BD9" w:rsidRPr="00E3081F" w:rsidRDefault="006F57AF" w:rsidP="00F80024">
      <w:pPr>
        <w:spacing w:after="0"/>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[17]</w:t>
      </w:r>
      <w:r w:rsidR="002D7D9A">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Rostom</w:t>
      </w:r>
      <w:proofErr w:type="spellEnd"/>
      <w:r w:rsidRPr="00E3081F">
        <w:rPr>
          <w:rFonts w:ascii="Times New Roman" w:eastAsia="宋体" w:hAnsi="Times New Roman" w:cs="Times New Roman"/>
          <w:color w:val="000000" w:themeColor="text1"/>
          <w:sz w:val="24"/>
          <w:szCs w:val="24"/>
        </w:rPr>
        <w:t xml:space="preserve"> A, </w:t>
      </w:r>
      <w:proofErr w:type="spellStart"/>
      <w:r w:rsidRPr="00E3081F">
        <w:rPr>
          <w:rFonts w:ascii="Times New Roman" w:eastAsia="宋体" w:hAnsi="Times New Roman" w:cs="Times New Roman"/>
          <w:color w:val="000000" w:themeColor="text1"/>
          <w:sz w:val="24"/>
          <w:szCs w:val="24"/>
        </w:rPr>
        <w:t>Dube</w:t>
      </w:r>
      <w:proofErr w:type="spellEnd"/>
      <w:r w:rsidRPr="00E3081F">
        <w:rPr>
          <w:rFonts w:ascii="Times New Roman" w:eastAsia="宋体" w:hAnsi="Times New Roman" w:cs="Times New Roman"/>
          <w:color w:val="000000" w:themeColor="text1"/>
          <w:sz w:val="24"/>
          <w:szCs w:val="24"/>
        </w:rPr>
        <w:t xml:space="preserve"> C, Wells G, </w:t>
      </w:r>
      <w:r w:rsidRPr="002D7D9A">
        <w:rPr>
          <w:rFonts w:ascii="Times New Roman" w:eastAsia="宋体" w:hAnsi="Times New Roman" w:cs="Times New Roman"/>
          <w:i/>
          <w:color w:val="000000" w:themeColor="text1"/>
          <w:sz w:val="24"/>
          <w:szCs w:val="24"/>
        </w:rPr>
        <w:t>et al.</w:t>
      </w:r>
      <w:r w:rsidRPr="00E3081F">
        <w:rPr>
          <w:rFonts w:ascii="Times New Roman" w:eastAsia="宋体" w:hAnsi="Times New Roman" w:cs="Times New Roman"/>
          <w:color w:val="000000" w:themeColor="text1"/>
          <w:sz w:val="24"/>
          <w:szCs w:val="24"/>
        </w:rPr>
        <w:t xml:space="preserve"> Prevention of NSAID-induced gastroduodenal </w:t>
      </w:r>
      <w:proofErr w:type="gramStart"/>
      <w:r w:rsidRPr="00E3081F">
        <w:rPr>
          <w:rFonts w:ascii="Times New Roman" w:eastAsia="宋体" w:hAnsi="Times New Roman" w:cs="Times New Roman"/>
          <w:color w:val="000000" w:themeColor="text1"/>
          <w:sz w:val="24"/>
          <w:szCs w:val="24"/>
        </w:rPr>
        <w:t>ulcers</w:t>
      </w:r>
      <w:r w:rsidR="002D7D9A">
        <w:rPr>
          <w:rFonts w:ascii="Times New Roman" w:eastAsia="仿宋_GB2312" w:hAnsi="Times New Roman" w:cs="Times New Roman"/>
          <w:color w:val="000000" w:themeColor="text1"/>
          <w:sz w:val="24"/>
          <w:szCs w:val="24"/>
        </w:rPr>
        <w:t>[</w:t>
      </w:r>
      <w:proofErr w:type="gramEnd"/>
      <w:r w:rsidR="002D7D9A">
        <w:rPr>
          <w:rFonts w:ascii="Times New Roman" w:eastAsia="仿宋_GB2312" w:hAnsi="Times New Roman" w:cs="Times New Roman"/>
          <w:color w:val="000000" w:themeColor="text1"/>
          <w:sz w:val="24"/>
          <w:szCs w:val="24"/>
        </w:rPr>
        <w:t>J]</w:t>
      </w:r>
      <w:r w:rsidRPr="00E3081F">
        <w:rPr>
          <w:rFonts w:ascii="Times New Roman" w:eastAsia="宋体" w:hAnsi="Times New Roman" w:cs="Times New Roman"/>
          <w:color w:val="000000" w:themeColor="text1"/>
          <w:sz w:val="24"/>
          <w:szCs w:val="24"/>
        </w:rPr>
        <w:t xml:space="preserve">. Cochrane Database </w:t>
      </w:r>
      <w:proofErr w:type="spellStart"/>
      <w:r w:rsidRPr="00E3081F">
        <w:rPr>
          <w:rFonts w:ascii="Times New Roman" w:eastAsia="宋体" w:hAnsi="Times New Roman" w:cs="Times New Roman"/>
          <w:color w:val="000000" w:themeColor="text1"/>
          <w:sz w:val="24"/>
          <w:szCs w:val="24"/>
        </w:rPr>
        <w:t>Syst</w:t>
      </w:r>
      <w:proofErr w:type="spellEnd"/>
      <w:r w:rsidRPr="00E3081F">
        <w:rPr>
          <w:rFonts w:ascii="Times New Roman" w:eastAsia="宋体" w:hAnsi="Times New Roman" w:cs="Times New Roman"/>
          <w:color w:val="000000" w:themeColor="text1"/>
          <w:sz w:val="24"/>
          <w:szCs w:val="24"/>
        </w:rPr>
        <w:t xml:space="preserve"> Rev</w:t>
      </w:r>
      <w:r w:rsidR="002D7D9A">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 xml:space="preserve"> 2002</w:t>
      </w:r>
      <w:r w:rsidR="002D7D9A" w:rsidRPr="00E3081F">
        <w:rPr>
          <w:rFonts w:ascii="Times New Roman" w:eastAsia="宋体" w:hAnsi="Times New Roman" w:cs="Times New Roman"/>
          <w:color w:val="000000" w:themeColor="text1"/>
          <w:sz w:val="24"/>
          <w:szCs w:val="24"/>
        </w:rPr>
        <w:t xml:space="preserve"> </w:t>
      </w:r>
      <w:r w:rsidRPr="00E3081F">
        <w:rPr>
          <w:rFonts w:ascii="Times New Roman" w:eastAsia="宋体" w:hAnsi="Times New Roman" w:cs="Times New Roman"/>
          <w:color w:val="000000" w:themeColor="text1"/>
          <w:sz w:val="24"/>
          <w:szCs w:val="24"/>
        </w:rPr>
        <w:t>(4):CD002296.</w:t>
      </w:r>
    </w:p>
    <w:p w:rsidR="007A5BD9" w:rsidRPr="00E3081F" w:rsidRDefault="006F57AF" w:rsidP="00F80024">
      <w:pPr>
        <w:spacing w:after="0"/>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[18]</w:t>
      </w:r>
      <w:r w:rsidR="002D7D9A">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Vonkeman</w:t>
      </w:r>
      <w:proofErr w:type="spellEnd"/>
      <w:r w:rsidRPr="00E3081F">
        <w:rPr>
          <w:rFonts w:ascii="Times New Roman" w:eastAsia="宋体" w:hAnsi="Times New Roman" w:cs="Times New Roman"/>
          <w:color w:val="000000" w:themeColor="text1"/>
          <w:sz w:val="24"/>
          <w:szCs w:val="24"/>
        </w:rPr>
        <w:t xml:space="preserve"> H</w:t>
      </w:r>
      <w:r w:rsidR="002D7D9A">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 xml:space="preserve">E, </w:t>
      </w:r>
      <w:proofErr w:type="spellStart"/>
      <w:r w:rsidRPr="00E3081F">
        <w:rPr>
          <w:rFonts w:ascii="Times New Roman" w:eastAsia="宋体" w:hAnsi="Times New Roman" w:cs="Times New Roman"/>
          <w:color w:val="000000" w:themeColor="text1"/>
          <w:sz w:val="24"/>
          <w:szCs w:val="24"/>
        </w:rPr>
        <w:t>Fernandes</w:t>
      </w:r>
      <w:proofErr w:type="spellEnd"/>
      <w:r w:rsidRPr="00E3081F">
        <w:rPr>
          <w:rFonts w:ascii="Times New Roman" w:eastAsia="宋体" w:hAnsi="Times New Roman" w:cs="Times New Roman"/>
          <w:color w:val="000000" w:themeColor="text1"/>
          <w:sz w:val="24"/>
          <w:szCs w:val="24"/>
        </w:rPr>
        <w:t xml:space="preserve"> R</w:t>
      </w:r>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 xml:space="preserve">W, van der </w:t>
      </w:r>
      <w:proofErr w:type="spellStart"/>
      <w:r w:rsidRPr="00E3081F">
        <w:rPr>
          <w:rFonts w:ascii="Times New Roman" w:eastAsia="宋体" w:hAnsi="Times New Roman" w:cs="Times New Roman"/>
          <w:color w:val="000000" w:themeColor="text1"/>
          <w:sz w:val="24"/>
          <w:szCs w:val="24"/>
        </w:rPr>
        <w:t>Palen</w:t>
      </w:r>
      <w:proofErr w:type="spellEnd"/>
      <w:r w:rsidRPr="00E3081F">
        <w:rPr>
          <w:rFonts w:ascii="Times New Roman" w:eastAsia="宋体" w:hAnsi="Times New Roman" w:cs="Times New Roman"/>
          <w:color w:val="000000" w:themeColor="text1"/>
          <w:sz w:val="24"/>
          <w:szCs w:val="24"/>
        </w:rPr>
        <w:t xml:space="preserve"> J,</w:t>
      </w:r>
      <w:r w:rsidRPr="00F80024">
        <w:rPr>
          <w:rFonts w:ascii="Times New Roman" w:eastAsia="宋体" w:hAnsi="Times New Roman" w:cs="Times New Roman"/>
          <w:i/>
          <w:color w:val="000000" w:themeColor="text1"/>
          <w:sz w:val="24"/>
          <w:szCs w:val="24"/>
        </w:rPr>
        <w:t xml:space="preserve"> et al</w:t>
      </w:r>
      <w:r w:rsidRPr="00E3081F">
        <w:rPr>
          <w:rFonts w:ascii="Times New Roman" w:eastAsia="宋体" w:hAnsi="Times New Roman" w:cs="Times New Roman"/>
          <w:color w:val="000000" w:themeColor="text1"/>
          <w:sz w:val="24"/>
          <w:szCs w:val="24"/>
        </w:rPr>
        <w:t>. Proton pump inhibitors are associated with a reduced risk for bleeding and perforated gastroduodenal ulcers attributable to non-steroidal anti-inflammatory drugs: a nested case-control study[J]. Arthritis Res Ther</w:t>
      </w:r>
      <w:proofErr w:type="gramStart"/>
      <w:r w:rsidR="00F80024">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2007</w:t>
      </w:r>
      <w:r w:rsidR="00F80024">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9</w:t>
      </w:r>
      <w:proofErr w:type="gramEnd"/>
      <w:r w:rsidR="00F80024">
        <w:rPr>
          <w:rFonts w:ascii="Times New Roman" w:eastAsia="宋体" w:hAnsi="Times New Roman" w:cs="Times New Roman" w:hint="eastAsia"/>
          <w:color w:val="000000" w:themeColor="text1"/>
          <w:sz w:val="24"/>
          <w:szCs w:val="24"/>
        </w:rPr>
        <w:t>(3)</w:t>
      </w:r>
      <w:r w:rsidRPr="00E3081F">
        <w:rPr>
          <w:rFonts w:ascii="Times New Roman" w:eastAsia="宋体" w:hAnsi="Times New Roman" w:cs="Times New Roman"/>
          <w:color w:val="000000" w:themeColor="text1"/>
          <w:sz w:val="24"/>
          <w:szCs w:val="24"/>
        </w:rPr>
        <w:t>:R52.</w:t>
      </w:r>
    </w:p>
    <w:p w:rsidR="007A5BD9" w:rsidRPr="00E3081F" w:rsidRDefault="006F57AF" w:rsidP="00F80024">
      <w:pPr>
        <w:spacing w:after="0"/>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[19]</w:t>
      </w:r>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Chan F</w:t>
      </w:r>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K, To K</w:t>
      </w:r>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F, Wu J</w:t>
      </w:r>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C</w:t>
      </w:r>
      <w:r w:rsidR="00F80024">
        <w:rPr>
          <w:rFonts w:ascii="Times New Roman" w:eastAsia="宋体" w:hAnsi="Times New Roman" w:cs="Times New Roman" w:hint="eastAsia"/>
          <w:color w:val="000000" w:themeColor="text1"/>
          <w:sz w:val="24"/>
          <w:szCs w:val="24"/>
        </w:rPr>
        <w:t xml:space="preserve">, </w:t>
      </w:r>
      <w:r w:rsidRPr="00F80024">
        <w:rPr>
          <w:rFonts w:ascii="Times New Roman" w:eastAsia="宋体" w:hAnsi="Times New Roman" w:cs="Times New Roman"/>
          <w:i/>
          <w:color w:val="000000" w:themeColor="text1"/>
          <w:sz w:val="24"/>
          <w:szCs w:val="24"/>
        </w:rPr>
        <w:t>et al</w:t>
      </w:r>
      <w:r w:rsidRPr="00E3081F">
        <w:rPr>
          <w:rFonts w:ascii="Times New Roman" w:eastAsia="宋体" w:hAnsi="Times New Roman" w:cs="Times New Roman"/>
          <w:color w:val="000000" w:themeColor="text1"/>
          <w:sz w:val="24"/>
          <w:szCs w:val="24"/>
        </w:rPr>
        <w:t xml:space="preserve">. Eradication of Helicobacter pylori and risk of peptic ulcers in patients starting long-term treatment with non-steroidal anti-inflammatory drugs: a </w:t>
      </w:r>
      <w:proofErr w:type="spellStart"/>
      <w:r w:rsidRPr="00E3081F">
        <w:rPr>
          <w:rFonts w:ascii="Times New Roman" w:eastAsia="宋体" w:hAnsi="Times New Roman" w:cs="Times New Roman"/>
          <w:color w:val="000000" w:themeColor="text1"/>
          <w:sz w:val="24"/>
          <w:szCs w:val="24"/>
        </w:rPr>
        <w:t>randomised</w:t>
      </w:r>
      <w:proofErr w:type="spellEnd"/>
      <w:r w:rsidRPr="00E3081F">
        <w:rPr>
          <w:rFonts w:ascii="Times New Roman" w:eastAsia="宋体" w:hAnsi="Times New Roman" w:cs="Times New Roman"/>
          <w:color w:val="000000" w:themeColor="text1"/>
          <w:sz w:val="24"/>
          <w:szCs w:val="24"/>
        </w:rPr>
        <w:t xml:space="preserve"> trial[J]. Lancet</w:t>
      </w:r>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2002</w:t>
      </w:r>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359(9300):9-13.</w:t>
      </w:r>
    </w:p>
    <w:p w:rsidR="007A5BD9" w:rsidRPr="00E3081F" w:rsidRDefault="006F57AF" w:rsidP="00F80024">
      <w:pPr>
        <w:spacing w:after="0"/>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[20]</w:t>
      </w:r>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Lanza K</w:t>
      </w:r>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L,</w:t>
      </w:r>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Chan F</w:t>
      </w:r>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K,</w:t>
      </w:r>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Quigley E</w:t>
      </w:r>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M,</w:t>
      </w:r>
      <w:r w:rsidR="00F80024" w:rsidRPr="00F80024">
        <w:rPr>
          <w:rFonts w:ascii="Times New Roman" w:eastAsia="宋体" w:hAnsi="Times New Roman" w:cs="Times New Roman" w:hint="eastAsia"/>
          <w:i/>
          <w:color w:val="000000" w:themeColor="text1"/>
          <w:sz w:val="24"/>
          <w:szCs w:val="24"/>
        </w:rPr>
        <w:t xml:space="preserve"> </w:t>
      </w:r>
      <w:r w:rsidRPr="00F80024">
        <w:rPr>
          <w:rFonts w:ascii="Times New Roman" w:eastAsia="宋体" w:hAnsi="Times New Roman" w:cs="Times New Roman"/>
          <w:i/>
          <w:color w:val="000000" w:themeColor="text1"/>
          <w:sz w:val="24"/>
          <w:szCs w:val="24"/>
        </w:rPr>
        <w:t>et al</w:t>
      </w:r>
      <w:r w:rsidRPr="00E3081F">
        <w:rPr>
          <w:rFonts w:ascii="Times New Roman" w:eastAsia="宋体" w:hAnsi="Times New Roman" w:cs="Times New Roman"/>
          <w:color w:val="000000" w:themeColor="text1"/>
          <w:sz w:val="24"/>
          <w:szCs w:val="24"/>
        </w:rPr>
        <w:t>.</w:t>
      </w:r>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 xml:space="preserve">ACG Clinical Guideline: Prevention of NSAID-Related Ulcer Complications[J].Am J </w:t>
      </w:r>
      <w:proofErr w:type="spellStart"/>
      <w:r w:rsidRPr="00E3081F">
        <w:rPr>
          <w:rFonts w:ascii="Times New Roman" w:eastAsia="宋体" w:hAnsi="Times New Roman" w:cs="Times New Roman"/>
          <w:color w:val="000000" w:themeColor="text1"/>
          <w:sz w:val="24"/>
          <w:szCs w:val="24"/>
        </w:rPr>
        <w:t>Gastroenterol</w:t>
      </w:r>
      <w:proofErr w:type="spellEnd"/>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2009</w:t>
      </w:r>
      <w:r w:rsidR="00F80024">
        <w:rPr>
          <w:rFonts w:ascii="Times New Roman" w:eastAsia="宋体" w:hAnsi="Times New Roman" w:cs="Times New Roman" w:hint="eastAsia"/>
          <w:color w:val="000000" w:themeColor="text1"/>
          <w:sz w:val="24"/>
          <w:szCs w:val="24"/>
        </w:rPr>
        <w:t>,</w:t>
      </w:r>
      <w:r w:rsidR="00F80024">
        <w:rPr>
          <w:rFonts w:ascii="Times New Roman" w:eastAsia="宋体" w:hAnsi="Times New Roman" w:cs="Times New Roman"/>
          <w:color w:val="000000" w:themeColor="text1"/>
          <w:sz w:val="24"/>
          <w:szCs w:val="24"/>
        </w:rPr>
        <w:t xml:space="preserve"> 104:728</w:t>
      </w:r>
      <w:r w:rsidR="00F80024">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738</w:t>
      </w:r>
      <w:r w:rsidR="00F80024">
        <w:rPr>
          <w:rFonts w:ascii="Times New Roman" w:eastAsia="宋体" w:hAnsi="Times New Roman" w:cs="Times New Roman" w:hint="eastAsia"/>
          <w:color w:val="000000" w:themeColor="text1"/>
          <w:sz w:val="24"/>
          <w:szCs w:val="24"/>
        </w:rPr>
        <w:t>.</w:t>
      </w:r>
    </w:p>
    <w:p w:rsidR="007A5BD9" w:rsidRPr="00E3081F" w:rsidRDefault="006F57AF" w:rsidP="00F80024">
      <w:pPr>
        <w:spacing w:after="0"/>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[21]</w:t>
      </w:r>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 xml:space="preserve">Satoh K, Yoshino J, </w:t>
      </w:r>
      <w:proofErr w:type="spellStart"/>
      <w:r w:rsidRPr="00E3081F">
        <w:rPr>
          <w:rFonts w:ascii="Times New Roman" w:eastAsia="宋体" w:hAnsi="Times New Roman" w:cs="Times New Roman"/>
          <w:color w:val="000000" w:themeColor="text1"/>
          <w:sz w:val="24"/>
          <w:szCs w:val="24"/>
        </w:rPr>
        <w:t>Akamatsu</w:t>
      </w:r>
      <w:proofErr w:type="spellEnd"/>
      <w:r w:rsidRPr="00E3081F">
        <w:rPr>
          <w:rFonts w:ascii="Times New Roman" w:eastAsia="宋体" w:hAnsi="Times New Roman" w:cs="Times New Roman"/>
          <w:color w:val="000000" w:themeColor="text1"/>
          <w:sz w:val="24"/>
          <w:szCs w:val="24"/>
        </w:rPr>
        <w:t xml:space="preserve"> T, </w:t>
      </w:r>
      <w:r w:rsidRPr="00F80024">
        <w:rPr>
          <w:rFonts w:ascii="Times New Roman" w:eastAsia="宋体" w:hAnsi="Times New Roman" w:cs="Times New Roman"/>
          <w:i/>
          <w:color w:val="000000" w:themeColor="text1"/>
          <w:sz w:val="24"/>
          <w:szCs w:val="24"/>
        </w:rPr>
        <w:t>et al.</w:t>
      </w:r>
      <w:r w:rsidRPr="00E3081F">
        <w:rPr>
          <w:rFonts w:ascii="Times New Roman" w:eastAsia="宋体" w:hAnsi="Times New Roman" w:cs="Times New Roman"/>
          <w:color w:val="000000" w:themeColor="text1"/>
          <w:sz w:val="24"/>
          <w:szCs w:val="24"/>
        </w:rPr>
        <w:t xml:space="preserve"> Evidence-based clinical practice guidelines for peptic ulcer disease 2015[J]. J Gastroenterol</w:t>
      </w:r>
      <w:proofErr w:type="gramStart"/>
      <w:r w:rsidR="00F80024">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2016</w:t>
      </w:r>
      <w:r w:rsidR="00F80024">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51</w:t>
      </w:r>
      <w:proofErr w:type="gramEnd"/>
      <w:r w:rsidRPr="00E3081F">
        <w:rPr>
          <w:rFonts w:ascii="Times New Roman" w:eastAsia="宋体" w:hAnsi="Times New Roman" w:cs="Times New Roman"/>
          <w:color w:val="000000" w:themeColor="text1"/>
          <w:sz w:val="24"/>
          <w:szCs w:val="24"/>
        </w:rPr>
        <w:t>(3):177-</w:t>
      </w:r>
      <w:r w:rsidR="00F80024">
        <w:rPr>
          <w:rFonts w:ascii="Times New Roman" w:eastAsia="宋体" w:hAnsi="Times New Roman" w:cs="Times New Roman" w:hint="eastAsia"/>
          <w:color w:val="000000" w:themeColor="text1"/>
          <w:sz w:val="24"/>
          <w:szCs w:val="24"/>
        </w:rPr>
        <w:t>1</w:t>
      </w:r>
      <w:r w:rsidRPr="00E3081F">
        <w:rPr>
          <w:rFonts w:ascii="Times New Roman" w:eastAsia="宋体" w:hAnsi="Times New Roman" w:cs="Times New Roman"/>
          <w:color w:val="000000" w:themeColor="text1"/>
          <w:sz w:val="24"/>
          <w:szCs w:val="24"/>
        </w:rPr>
        <w:t>94.</w:t>
      </w:r>
    </w:p>
    <w:p w:rsidR="007A5BD9" w:rsidRPr="00E3081F" w:rsidRDefault="006F57AF" w:rsidP="00F80024">
      <w:pPr>
        <w:spacing w:after="0"/>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 xml:space="preserve">[22] </w:t>
      </w:r>
      <w:proofErr w:type="spellStart"/>
      <w:r w:rsidRPr="00E3081F">
        <w:rPr>
          <w:rFonts w:ascii="Times New Roman" w:eastAsia="宋体" w:hAnsi="Times New Roman" w:cs="Times New Roman"/>
          <w:color w:val="000000" w:themeColor="text1"/>
          <w:sz w:val="24"/>
          <w:szCs w:val="24"/>
        </w:rPr>
        <w:t>Rostom</w:t>
      </w:r>
      <w:proofErr w:type="spellEnd"/>
      <w:r w:rsidRPr="00E3081F">
        <w:rPr>
          <w:rFonts w:ascii="Times New Roman" w:eastAsia="宋体" w:hAnsi="Times New Roman" w:cs="Times New Roman"/>
          <w:color w:val="000000" w:themeColor="text1"/>
          <w:sz w:val="24"/>
          <w:szCs w:val="24"/>
        </w:rPr>
        <w:t xml:space="preserve"> A, Wells G, </w:t>
      </w:r>
      <w:proofErr w:type="spellStart"/>
      <w:r w:rsidRPr="00E3081F">
        <w:rPr>
          <w:rFonts w:ascii="Times New Roman" w:eastAsia="宋体" w:hAnsi="Times New Roman" w:cs="Times New Roman"/>
          <w:color w:val="000000" w:themeColor="text1"/>
          <w:sz w:val="24"/>
          <w:szCs w:val="24"/>
        </w:rPr>
        <w:t>Tugwell</w:t>
      </w:r>
      <w:proofErr w:type="spellEnd"/>
      <w:r w:rsidRPr="00E3081F">
        <w:rPr>
          <w:rFonts w:ascii="Times New Roman" w:eastAsia="宋体" w:hAnsi="Times New Roman" w:cs="Times New Roman"/>
          <w:color w:val="000000" w:themeColor="text1"/>
          <w:sz w:val="24"/>
          <w:szCs w:val="24"/>
        </w:rPr>
        <w:t xml:space="preserve"> P, </w:t>
      </w:r>
      <w:r w:rsidR="00F80024" w:rsidRPr="00F80024">
        <w:rPr>
          <w:rFonts w:ascii="Times New Roman" w:eastAsia="宋体" w:hAnsi="Times New Roman" w:cs="Times New Roman" w:hint="eastAsia"/>
          <w:i/>
          <w:color w:val="000000" w:themeColor="text1"/>
          <w:sz w:val="24"/>
          <w:szCs w:val="24"/>
        </w:rPr>
        <w:t>et al</w:t>
      </w:r>
      <w:r w:rsidRPr="00F80024">
        <w:rPr>
          <w:rFonts w:ascii="Times New Roman" w:eastAsia="宋体" w:hAnsi="Times New Roman" w:cs="Times New Roman"/>
          <w:i/>
          <w:color w:val="000000" w:themeColor="text1"/>
          <w:sz w:val="24"/>
          <w:szCs w:val="24"/>
        </w:rPr>
        <w:t>.</w:t>
      </w:r>
      <w:r w:rsidRPr="00E3081F">
        <w:rPr>
          <w:rFonts w:ascii="Times New Roman" w:eastAsia="宋体" w:hAnsi="Times New Roman" w:cs="Times New Roman"/>
          <w:color w:val="000000" w:themeColor="text1"/>
          <w:sz w:val="24"/>
          <w:szCs w:val="24"/>
        </w:rPr>
        <w:t xml:space="preserve"> The prevention of chronic NSAID induced upper gastrointestinal toxicity: a Cochrane collaboration </w:t>
      </w:r>
      <w:proofErr w:type="spellStart"/>
      <w:r w:rsidRPr="00E3081F">
        <w:rPr>
          <w:rFonts w:ascii="Times New Roman" w:eastAsia="宋体" w:hAnsi="Times New Roman" w:cs="Times New Roman"/>
          <w:color w:val="000000" w:themeColor="text1"/>
          <w:sz w:val="24"/>
          <w:szCs w:val="24"/>
        </w:rPr>
        <w:t>meta analysis</w:t>
      </w:r>
      <w:proofErr w:type="spellEnd"/>
      <w:r w:rsidRPr="00E3081F">
        <w:rPr>
          <w:rFonts w:ascii="Times New Roman" w:eastAsia="宋体" w:hAnsi="Times New Roman" w:cs="Times New Roman"/>
          <w:color w:val="000000" w:themeColor="text1"/>
          <w:sz w:val="24"/>
          <w:szCs w:val="24"/>
        </w:rPr>
        <w:t xml:space="preserve"> of randomized controlled </w:t>
      </w:r>
      <w:proofErr w:type="gramStart"/>
      <w:r w:rsidRPr="00E3081F">
        <w:rPr>
          <w:rFonts w:ascii="Times New Roman" w:eastAsia="宋体" w:hAnsi="Times New Roman" w:cs="Times New Roman"/>
          <w:color w:val="000000" w:themeColor="text1"/>
          <w:sz w:val="24"/>
          <w:szCs w:val="24"/>
        </w:rPr>
        <w:t>trials[</w:t>
      </w:r>
      <w:proofErr w:type="gramEnd"/>
      <w:r w:rsidRPr="00E3081F">
        <w:rPr>
          <w:rFonts w:ascii="Times New Roman" w:eastAsia="宋体" w:hAnsi="Times New Roman" w:cs="Times New Roman"/>
          <w:color w:val="000000" w:themeColor="text1"/>
          <w:sz w:val="24"/>
          <w:szCs w:val="24"/>
        </w:rPr>
        <w:t>J]. J Rheumatol</w:t>
      </w:r>
      <w:proofErr w:type="gramStart"/>
      <w:r w:rsidR="00F80024">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2000</w:t>
      </w:r>
      <w:r w:rsidR="00F80024">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27</w:t>
      </w:r>
      <w:proofErr w:type="gramEnd"/>
      <w:r w:rsidRPr="00E3081F">
        <w:rPr>
          <w:rFonts w:ascii="Times New Roman" w:eastAsia="宋体" w:hAnsi="Times New Roman" w:cs="Times New Roman"/>
          <w:color w:val="000000" w:themeColor="text1"/>
          <w:sz w:val="24"/>
          <w:szCs w:val="24"/>
        </w:rPr>
        <w:t>(9):2203</w:t>
      </w:r>
      <w:r w:rsidR="00F80024">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2214.</w:t>
      </w:r>
    </w:p>
    <w:p w:rsidR="007A5BD9" w:rsidRPr="00E3081F" w:rsidRDefault="006F57AF" w:rsidP="00F80024">
      <w:pPr>
        <w:spacing w:after="0"/>
        <w:contextualSpacing/>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[23]</w:t>
      </w:r>
      <w:r w:rsidR="00F80024">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Rostom</w:t>
      </w:r>
      <w:proofErr w:type="spellEnd"/>
      <w:r w:rsidRPr="00E3081F">
        <w:rPr>
          <w:rFonts w:ascii="Times New Roman" w:eastAsia="宋体" w:hAnsi="Times New Roman" w:cs="Times New Roman"/>
          <w:color w:val="000000" w:themeColor="text1"/>
          <w:sz w:val="24"/>
          <w:szCs w:val="24"/>
        </w:rPr>
        <w:t xml:space="preserve"> A, </w:t>
      </w:r>
      <w:proofErr w:type="spellStart"/>
      <w:r w:rsidRPr="00E3081F">
        <w:rPr>
          <w:rFonts w:ascii="Times New Roman" w:eastAsia="宋体" w:hAnsi="Times New Roman" w:cs="Times New Roman"/>
          <w:color w:val="000000" w:themeColor="text1"/>
          <w:sz w:val="24"/>
          <w:szCs w:val="24"/>
        </w:rPr>
        <w:t>Dube</w:t>
      </w:r>
      <w:proofErr w:type="spellEnd"/>
      <w:r w:rsidRPr="00E3081F">
        <w:rPr>
          <w:rFonts w:ascii="Times New Roman" w:eastAsia="宋体" w:hAnsi="Times New Roman" w:cs="Times New Roman"/>
          <w:color w:val="000000" w:themeColor="text1"/>
          <w:sz w:val="24"/>
          <w:szCs w:val="24"/>
        </w:rPr>
        <w:t xml:space="preserve"> C, Wells G, </w:t>
      </w:r>
      <w:r w:rsidRPr="00F80024">
        <w:rPr>
          <w:rFonts w:ascii="Times New Roman" w:eastAsia="宋体" w:hAnsi="Times New Roman" w:cs="Times New Roman"/>
          <w:i/>
          <w:color w:val="000000" w:themeColor="text1"/>
          <w:sz w:val="24"/>
          <w:szCs w:val="24"/>
        </w:rPr>
        <w:t>et al</w:t>
      </w:r>
      <w:r w:rsidRPr="00E3081F">
        <w:rPr>
          <w:rFonts w:ascii="Times New Roman" w:eastAsia="宋体" w:hAnsi="Times New Roman" w:cs="Times New Roman"/>
          <w:color w:val="000000" w:themeColor="text1"/>
          <w:sz w:val="24"/>
          <w:szCs w:val="24"/>
        </w:rPr>
        <w:t xml:space="preserve">. Prevention of NSAID-induced gastroduodenal </w:t>
      </w:r>
      <w:proofErr w:type="gramStart"/>
      <w:r w:rsidRPr="00E3081F">
        <w:rPr>
          <w:rFonts w:ascii="Times New Roman" w:eastAsia="宋体" w:hAnsi="Times New Roman" w:cs="Times New Roman"/>
          <w:color w:val="000000" w:themeColor="text1"/>
          <w:sz w:val="24"/>
          <w:szCs w:val="24"/>
        </w:rPr>
        <w:t>ulcers[</w:t>
      </w:r>
      <w:proofErr w:type="gramEnd"/>
      <w:r w:rsidRPr="00E3081F">
        <w:rPr>
          <w:rFonts w:ascii="Times New Roman" w:eastAsia="宋体" w:hAnsi="Times New Roman" w:cs="Times New Roman"/>
          <w:color w:val="000000" w:themeColor="text1"/>
          <w:sz w:val="24"/>
          <w:szCs w:val="24"/>
        </w:rPr>
        <w:t xml:space="preserve">J]. Cochrane Database </w:t>
      </w:r>
      <w:proofErr w:type="spellStart"/>
      <w:r w:rsidRPr="00E3081F">
        <w:rPr>
          <w:rFonts w:ascii="Times New Roman" w:eastAsia="宋体" w:hAnsi="Times New Roman" w:cs="Times New Roman"/>
          <w:color w:val="000000" w:themeColor="text1"/>
          <w:sz w:val="24"/>
          <w:szCs w:val="24"/>
        </w:rPr>
        <w:t>Syst</w:t>
      </w:r>
      <w:proofErr w:type="spellEnd"/>
      <w:r w:rsidRPr="00E3081F">
        <w:rPr>
          <w:rFonts w:ascii="Times New Roman" w:eastAsia="宋体" w:hAnsi="Times New Roman" w:cs="Times New Roman"/>
          <w:color w:val="000000" w:themeColor="text1"/>
          <w:sz w:val="24"/>
          <w:szCs w:val="24"/>
        </w:rPr>
        <w:t xml:space="preserve"> Rev</w:t>
      </w:r>
      <w:proofErr w:type="gramStart"/>
      <w:r w:rsidR="00F80024">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2002</w:t>
      </w:r>
      <w:r w:rsidR="00F80024">
        <w:rPr>
          <w:rFonts w:ascii="Times New Roman" w:eastAsia="宋体" w:hAnsi="Times New Roman" w:cs="Times New Roman" w:hint="eastAsia"/>
          <w:color w:val="000000" w:themeColor="text1"/>
          <w:sz w:val="24"/>
          <w:szCs w:val="24"/>
        </w:rPr>
        <w:t>,4</w:t>
      </w:r>
      <w:proofErr w:type="gramEnd"/>
      <w:r w:rsidR="00F80024" w:rsidRPr="00E3081F">
        <w:rPr>
          <w:rFonts w:ascii="Times New Roman" w:eastAsia="宋体" w:hAnsi="Times New Roman" w:cs="Times New Roman"/>
          <w:color w:val="000000" w:themeColor="text1"/>
          <w:sz w:val="24"/>
          <w:szCs w:val="24"/>
        </w:rPr>
        <w:t xml:space="preserve"> </w:t>
      </w:r>
      <w:r w:rsidRPr="00E3081F">
        <w:rPr>
          <w:rFonts w:ascii="Times New Roman" w:eastAsia="宋体" w:hAnsi="Times New Roman" w:cs="Times New Roman"/>
          <w:color w:val="000000" w:themeColor="text1"/>
          <w:sz w:val="24"/>
          <w:szCs w:val="24"/>
        </w:rPr>
        <w:t>(4):CD002296.</w:t>
      </w:r>
    </w:p>
    <w:p w:rsidR="007A5BD9" w:rsidRPr="00E3081F" w:rsidRDefault="006F57AF" w:rsidP="00F80024">
      <w:pPr>
        <w:spacing w:after="0"/>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[24]</w:t>
      </w:r>
      <w:r w:rsidR="00F80024">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Uemura</w:t>
      </w:r>
      <w:proofErr w:type="spellEnd"/>
      <w:r w:rsidRPr="00E3081F">
        <w:rPr>
          <w:rFonts w:ascii="Times New Roman" w:eastAsia="宋体" w:hAnsi="Times New Roman" w:cs="Times New Roman"/>
          <w:color w:val="000000" w:themeColor="text1"/>
          <w:sz w:val="24"/>
          <w:szCs w:val="24"/>
        </w:rPr>
        <w:t xml:space="preserve"> N, Sugano K, </w:t>
      </w:r>
      <w:proofErr w:type="spellStart"/>
      <w:r w:rsidRPr="00E3081F">
        <w:rPr>
          <w:rFonts w:ascii="Times New Roman" w:eastAsia="宋体" w:hAnsi="Times New Roman" w:cs="Times New Roman"/>
          <w:color w:val="000000" w:themeColor="text1"/>
          <w:sz w:val="24"/>
          <w:szCs w:val="24"/>
        </w:rPr>
        <w:t>Hiraishi</w:t>
      </w:r>
      <w:proofErr w:type="spellEnd"/>
      <w:r w:rsidRPr="00E3081F">
        <w:rPr>
          <w:rFonts w:ascii="Times New Roman" w:eastAsia="宋体" w:hAnsi="Times New Roman" w:cs="Times New Roman"/>
          <w:color w:val="000000" w:themeColor="text1"/>
          <w:sz w:val="24"/>
          <w:szCs w:val="24"/>
        </w:rPr>
        <w:t xml:space="preserve"> H, </w:t>
      </w:r>
      <w:r w:rsidRPr="00F80024">
        <w:rPr>
          <w:rFonts w:ascii="Times New Roman" w:eastAsia="宋体" w:hAnsi="Times New Roman" w:cs="Times New Roman"/>
          <w:i/>
          <w:color w:val="000000" w:themeColor="text1"/>
          <w:sz w:val="24"/>
          <w:szCs w:val="24"/>
        </w:rPr>
        <w:t>et al</w:t>
      </w:r>
      <w:r w:rsidRPr="00E3081F">
        <w:rPr>
          <w:rFonts w:ascii="Times New Roman" w:eastAsia="宋体" w:hAnsi="Times New Roman" w:cs="Times New Roman"/>
          <w:color w:val="000000" w:themeColor="text1"/>
          <w:sz w:val="24"/>
          <w:szCs w:val="24"/>
        </w:rPr>
        <w:t xml:space="preserve">. </w:t>
      </w:r>
      <w:proofErr w:type="gramStart"/>
      <w:r w:rsidRPr="00E3081F">
        <w:rPr>
          <w:rFonts w:ascii="Times New Roman" w:eastAsia="宋体" w:hAnsi="Times New Roman" w:cs="Times New Roman"/>
          <w:color w:val="000000" w:themeColor="text1"/>
          <w:sz w:val="24"/>
          <w:szCs w:val="24"/>
        </w:rPr>
        <w:t>The MAGIC Study Group.</w:t>
      </w:r>
      <w:proofErr w:type="gramEnd"/>
      <w:r w:rsidRPr="00E3081F">
        <w:rPr>
          <w:rFonts w:ascii="Times New Roman" w:eastAsia="宋体" w:hAnsi="Times New Roman" w:cs="Times New Roman"/>
          <w:color w:val="000000" w:themeColor="text1"/>
          <w:sz w:val="24"/>
          <w:szCs w:val="24"/>
        </w:rPr>
        <w:t xml:space="preserve"> Risk factor profiles, drug usage, and prevalence of aspirin-associated gastroduodenal injuries among high-risk cardiovascular Japanese patients: the results from the MAGIC </w:t>
      </w:r>
      <w:proofErr w:type="gramStart"/>
      <w:r w:rsidRPr="00E3081F">
        <w:rPr>
          <w:rFonts w:ascii="Times New Roman" w:eastAsia="宋体" w:hAnsi="Times New Roman" w:cs="Times New Roman"/>
          <w:color w:val="000000" w:themeColor="text1"/>
          <w:sz w:val="24"/>
          <w:szCs w:val="24"/>
        </w:rPr>
        <w:t>study[</w:t>
      </w:r>
      <w:proofErr w:type="gramEnd"/>
      <w:r w:rsidRPr="00E3081F">
        <w:rPr>
          <w:rFonts w:ascii="Times New Roman" w:eastAsia="宋体" w:hAnsi="Times New Roman" w:cs="Times New Roman"/>
          <w:color w:val="000000" w:themeColor="text1"/>
          <w:sz w:val="24"/>
          <w:szCs w:val="24"/>
        </w:rPr>
        <w:t xml:space="preserve">J]. J </w:t>
      </w:r>
      <w:proofErr w:type="spellStart"/>
      <w:r w:rsidRPr="00E3081F">
        <w:rPr>
          <w:rFonts w:ascii="Times New Roman" w:eastAsia="宋体" w:hAnsi="Times New Roman" w:cs="Times New Roman"/>
          <w:color w:val="000000" w:themeColor="text1"/>
          <w:sz w:val="24"/>
          <w:szCs w:val="24"/>
        </w:rPr>
        <w:t>Gastroenterol</w:t>
      </w:r>
      <w:proofErr w:type="spellEnd"/>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2014</w:t>
      </w:r>
      <w:proofErr w:type="gramStart"/>
      <w:r w:rsidR="00F80024">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49:814</w:t>
      </w:r>
      <w:proofErr w:type="gramEnd"/>
      <w:r w:rsidR="00F80024">
        <w:rPr>
          <w:rFonts w:ascii="Times New Roman" w:eastAsia="宋体" w:hAnsi="Times New Roman" w:cs="Times New Roman" w:hint="eastAsia"/>
          <w:color w:val="000000" w:themeColor="text1"/>
          <w:sz w:val="24"/>
          <w:szCs w:val="24"/>
        </w:rPr>
        <w:t>-8</w:t>
      </w:r>
      <w:r w:rsidRPr="00E3081F">
        <w:rPr>
          <w:rFonts w:ascii="Times New Roman" w:eastAsia="宋体" w:hAnsi="Times New Roman" w:cs="Times New Roman"/>
          <w:color w:val="000000" w:themeColor="text1"/>
          <w:sz w:val="24"/>
          <w:szCs w:val="24"/>
        </w:rPr>
        <w:t>24.</w:t>
      </w:r>
    </w:p>
    <w:p w:rsidR="007A5BD9" w:rsidRPr="00E3081F" w:rsidRDefault="006F57AF" w:rsidP="00F80024">
      <w:pPr>
        <w:spacing w:after="0" w:line="240" w:lineRule="auto"/>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[25]</w:t>
      </w:r>
      <w:r w:rsidR="00F80024">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Lanas</w:t>
      </w:r>
      <w:proofErr w:type="spellEnd"/>
      <w:r w:rsidRPr="00E3081F">
        <w:rPr>
          <w:rFonts w:ascii="Times New Roman" w:eastAsia="宋体" w:hAnsi="Times New Roman" w:cs="Times New Roman"/>
          <w:color w:val="000000" w:themeColor="text1"/>
          <w:sz w:val="24"/>
          <w:szCs w:val="24"/>
        </w:rPr>
        <w:t xml:space="preserve"> A</w:t>
      </w:r>
      <w:r w:rsidR="00F80024">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GarciaRodriguez</w:t>
      </w:r>
      <w:proofErr w:type="spellEnd"/>
      <w:r w:rsidRPr="00E3081F">
        <w:rPr>
          <w:rFonts w:ascii="Times New Roman" w:eastAsia="宋体" w:hAnsi="Times New Roman" w:cs="Times New Roman"/>
          <w:color w:val="000000" w:themeColor="text1"/>
          <w:sz w:val="24"/>
          <w:szCs w:val="24"/>
        </w:rPr>
        <w:t xml:space="preserve"> L</w:t>
      </w:r>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A</w:t>
      </w:r>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Arroyo M</w:t>
      </w:r>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T</w:t>
      </w:r>
      <w:r w:rsidR="00F80024">
        <w:rPr>
          <w:rFonts w:ascii="Times New Roman" w:eastAsia="宋体" w:hAnsi="Times New Roman" w:cs="Times New Roman" w:hint="eastAsia"/>
          <w:color w:val="000000" w:themeColor="text1"/>
          <w:sz w:val="24"/>
          <w:szCs w:val="24"/>
        </w:rPr>
        <w:t xml:space="preserve">, </w:t>
      </w:r>
      <w:r w:rsidRPr="00F80024">
        <w:rPr>
          <w:rFonts w:ascii="Times New Roman" w:eastAsia="宋体" w:hAnsi="Times New Roman" w:cs="Times New Roman"/>
          <w:i/>
          <w:color w:val="000000" w:themeColor="text1"/>
          <w:sz w:val="24"/>
          <w:szCs w:val="24"/>
        </w:rPr>
        <w:t>et al</w:t>
      </w:r>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 xml:space="preserve">Risk of upper gastrointestinal ulcer bleeding associated with selective cyclo-oxygenase-2 </w:t>
      </w:r>
      <w:proofErr w:type="spellStart"/>
      <w:r w:rsidRPr="00E3081F">
        <w:rPr>
          <w:rFonts w:ascii="Times New Roman" w:eastAsia="宋体" w:hAnsi="Times New Roman" w:cs="Times New Roman"/>
          <w:color w:val="000000" w:themeColor="text1"/>
          <w:sz w:val="24"/>
          <w:szCs w:val="24"/>
        </w:rPr>
        <w:t>inhibitors</w:t>
      </w:r>
      <w:r w:rsidR="00F80024">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traditional</w:t>
      </w:r>
      <w:proofErr w:type="spellEnd"/>
      <w:r w:rsidRPr="00E3081F">
        <w:rPr>
          <w:rFonts w:ascii="Times New Roman" w:eastAsia="宋体" w:hAnsi="Times New Roman" w:cs="Times New Roman"/>
          <w:color w:val="000000" w:themeColor="text1"/>
          <w:sz w:val="24"/>
          <w:szCs w:val="24"/>
        </w:rPr>
        <w:t xml:space="preserve"> non-aspirin non-steroidal anti-inflammatory drugs</w:t>
      </w:r>
      <w:r w:rsidRPr="00E3081F">
        <w:rPr>
          <w:rFonts w:ascii="Times New Roman" w:eastAsia="宋体" w:hAnsi="Times New Roman" w:cs="Times New Roman"/>
          <w:color w:val="000000" w:themeColor="text1"/>
          <w:sz w:val="24"/>
          <w:szCs w:val="24"/>
        </w:rPr>
        <w:t>，</w:t>
      </w:r>
      <w:r w:rsidRPr="00E3081F">
        <w:rPr>
          <w:rFonts w:ascii="Times New Roman" w:eastAsia="宋体" w:hAnsi="Times New Roman" w:cs="Times New Roman"/>
          <w:color w:val="000000" w:themeColor="text1"/>
          <w:sz w:val="24"/>
          <w:szCs w:val="24"/>
        </w:rPr>
        <w:t xml:space="preserve">aspirin and </w:t>
      </w:r>
      <w:proofErr w:type="gramStart"/>
      <w:r w:rsidRPr="00E3081F">
        <w:rPr>
          <w:rFonts w:ascii="Times New Roman" w:eastAsia="宋体" w:hAnsi="Times New Roman" w:cs="Times New Roman"/>
          <w:color w:val="000000" w:themeColor="text1"/>
          <w:sz w:val="24"/>
          <w:szCs w:val="24"/>
        </w:rPr>
        <w:t>combinations[</w:t>
      </w:r>
      <w:proofErr w:type="gramEnd"/>
      <w:r w:rsidRPr="00E3081F">
        <w:rPr>
          <w:rFonts w:ascii="Times New Roman" w:eastAsia="宋体" w:hAnsi="Times New Roman" w:cs="Times New Roman"/>
          <w:color w:val="000000" w:themeColor="text1"/>
          <w:sz w:val="24"/>
          <w:szCs w:val="24"/>
        </w:rPr>
        <w:t>J]</w:t>
      </w:r>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Gut</w:t>
      </w:r>
      <w:r w:rsidR="00F8002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2006</w:t>
      </w:r>
      <w:proofErr w:type="gramStart"/>
      <w:r w:rsidR="00F80024">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55</w:t>
      </w:r>
      <w:r w:rsidR="00F80024">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1731</w:t>
      </w:r>
      <w:proofErr w:type="gramEnd"/>
      <w:r w:rsidRPr="00E3081F">
        <w:rPr>
          <w:rFonts w:ascii="Times New Roman" w:eastAsia="宋体" w:hAnsi="Times New Roman" w:cs="Times New Roman"/>
          <w:color w:val="000000" w:themeColor="text1"/>
          <w:sz w:val="24"/>
          <w:szCs w:val="24"/>
        </w:rPr>
        <w:t>-1738</w:t>
      </w:r>
      <w:r w:rsidR="00F80024">
        <w:rPr>
          <w:rFonts w:ascii="Times New Roman" w:eastAsia="宋体" w:hAnsi="Times New Roman" w:cs="Times New Roman" w:hint="eastAsia"/>
          <w:color w:val="000000" w:themeColor="text1"/>
          <w:sz w:val="24"/>
          <w:szCs w:val="24"/>
        </w:rPr>
        <w:t>.</w:t>
      </w:r>
    </w:p>
    <w:p w:rsidR="007A5BD9" w:rsidRPr="00E3081F" w:rsidRDefault="006F57AF" w:rsidP="001112F4">
      <w:pPr>
        <w:spacing w:after="0" w:line="240" w:lineRule="auto"/>
        <w:jc w:val="both"/>
        <w:rPr>
          <w:rStyle w:val="refpages"/>
          <w:rFonts w:ascii="Times New Roman" w:eastAsia="宋体" w:hAnsi="Times New Roman" w:cs="Times New Roman"/>
          <w:color w:val="000000" w:themeColor="text1"/>
          <w:sz w:val="24"/>
          <w:szCs w:val="24"/>
          <w:shd w:val="clear" w:color="auto" w:fill="EEEEEE"/>
        </w:rPr>
      </w:pPr>
      <w:r w:rsidRPr="00E3081F">
        <w:rPr>
          <w:rFonts w:ascii="Times New Roman" w:eastAsia="宋体" w:hAnsi="Times New Roman" w:cs="Times New Roman"/>
          <w:color w:val="000000" w:themeColor="text1"/>
          <w:sz w:val="24"/>
          <w:szCs w:val="24"/>
        </w:rPr>
        <w:lastRenderedPageBreak/>
        <w:t xml:space="preserve">[26] </w:t>
      </w:r>
      <w:proofErr w:type="spellStart"/>
      <w:r w:rsidRPr="00E3081F">
        <w:rPr>
          <w:rFonts w:ascii="Times New Roman" w:eastAsia="宋体" w:hAnsi="Times New Roman" w:cs="Times New Roman"/>
          <w:color w:val="000000" w:themeColor="text1"/>
          <w:sz w:val="24"/>
          <w:szCs w:val="24"/>
        </w:rPr>
        <w:t>Nikolsky</w:t>
      </w:r>
      <w:proofErr w:type="spellEnd"/>
      <w:r w:rsidR="00126C2F">
        <w:rPr>
          <w:rFonts w:ascii="Times New Roman" w:eastAsia="宋体" w:hAnsi="Times New Roman" w:cs="Times New Roman" w:hint="eastAsia"/>
          <w:color w:val="000000" w:themeColor="text1"/>
          <w:sz w:val="24"/>
          <w:szCs w:val="24"/>
        </w:rPr>
        <w:t xml:space="preserve"> </w:t>
      </w:r>
      <w:r w:rsidR="00126C2F">
        <w:rPr>
          <w:rFonts w:ascii="Times New Roman" w:eastAsia="宋体" w:hAnsi="Times New Roman" w:cs="Times New Roman"/>
          <w:color w:val="000000" w:themeColor="text1"/>
          <w:sz w:val="24"/>
          <w:szCs w:val="24"/>
        </w:rPr>
        <w:t>E</w:t>
      </w:r>
      <w:r w:rsidRPr="00E3081F">
        <w:rPr>
          <w:rFonts w:ascii="Times New Roman" w:eastAsia="宋体" w:hAnsi="Times New Roman" w:cs="Times New Roman"/>
          <w:color w:val="000000" w:themeColor="text1"/>
          <w:sz w:val="24"/>
          <w:szCs w:val="24"/>
        </w:rPr>
        <w:t>, Stone</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G</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 xml:space="preserve">W, </w:t>
      </w:r>
      <w:proofErr w:type="spellStart"/>
      <w:r w:rsidRPr="00E3081F">
        <w:rPr>
          <w:rFonts w:ascii="Times New Roman" w:eastAsia="宋体" w:hAnsi="Times New Roman" w:cs="Times New Roman"/>
          <w:color w:val="000000" w:themeColor="text1"/>
          <w:sz w:val="24"/>
          <w:szCs w:val="24"/>
        </w:rPr>
        <w:t>Kirtane</w:t>
      </w:r>
      <w:proofErr w:type="spellEnd"/>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 xml:space="preserve"> A</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J</w:t>
      </w:r>
      <w:r w:rsidR="00126C2F">
        <w:rPr>
          <w:rFonts w:ascii="Times New Roman" w:eastAsia="宋体" w:hAnsi="Times New Roman" w:cs="Times New Roman" w:hint="eastAsia"/>
          <w:color w:val="000000" w:themeColor="text1"/>
          <w:sz w:val="24"/>
          <w:szCs w:val="24"/>
        </w:rPr>
        <w:t xml:space="preserve">, </w:t>
      </w:r>
      <w:r w:rsidRPr="00126C2F">
        <w:rPr>
          <w:rFonts w:ascii="Times New Roman" w:eastAsia="宋体" w:hAnsi="Times New Roman" w:cs="Times New Roman"/>
          <w:i/>
          <w:color w:val="000000" w:themeColor="text1"/>
          <w:sz w:val="24"/>
          <w:szCs w:val="24"/>
        </w:rPr>
        <w:t>et al</w:t>
      </w:r>
      <w:r w:rsidRPr="00E3081F">
        <w:rPr>
          <w:rFonts w:ascii="Times New Roman" w:eastAsia="宋体" w:hAnsi="Times New Roman" w:cs="Times New Roman"/>
          <w:color w:val="000000" w:themeColor="text1"/>
          <w:sz w:val="24"/>
          <w:szCs w:val="24"/>
        </w:rPr>
        <w:t xml:space="preserve">. Gastrointestinal bleeding in patients with acute coronary syndromes: incidence, predictors, and clinical implications analysis from the ACUITY (Acute Catheterization and Urgent Intervention Triage Strategy) Trial[J]. J Am </w:t>
      </w:r>
      <w:proofErr w:type="spellStart"/>
      <w:r w:rsidRPr="00E3081F">
        <w:rPr>
          <w:rFonts w:ascii="Times New Roman" w:eastAsia="宋体" w:hAnsi="Times New Roman" w:cs="Times New Roman"/>
          <w:color w:val="000000" w:themeColor="text1"/>
          <w:sz w:val="24"/>
          <w:szCs w:val="24"/>
        </w:rPr>
        <w:t>Coll</w:t>
      </w:r>
      <w:proofErr w:type="spellEnd"/>
      <w:r w:rsidRPr="00E3081F">
        <w:rPr>
          <w:rFonts w:ascii="Times New Roman" w:eastAsia="宋体" w:hAnsi="Times New Roman" w:cs="Times New Roman"/>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Cardiol</w:t>
      </w:r>
      <w:proofErr w:type="spellEnd"/>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2009</w:t>
      </w:r>
      <w:proofErr w:type="gramStart"/>
      <w:r w:rsidR="00126C2F">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54</w:t>
      </w:r>
      <w:proofErr w:type="gramEnd"/>
      <w:r w:rsidR="00126C2F">
        <w:rPr>
          <w:rFonts w:ascii="Times New Roman" w:eastAsia="宋体" w:hAnsi="Times New Roman" w:cs="Times New Roman" w:hint="eastAsia"/>
          <w:color w:val="000000" w:themeColor="text1"/>
          <w:sz w:val="24"/>
          <w:szCs w:val="24"/>
        </w:rPr>
        <w:t>(14)</w:t>
      </w:r>
      <w:r w:rsidRPr="00E3081F">
        <w:rPr>
          <w:rFonts w:ascii="Times New Roman" w:eastAsia="宋体" w:hAnsi="Times New Roman" w:cs="Times New Roman"/>
          <w:color w:val="000000" w:themeColor="text1"/>
          <w:sz w:val="24"/>
          <w:szCs w:val="24"/>
        </w:rPr>
        <w:t>: 1293</w:t>
      </w:r>
      <w:r w:rsidR="00126C2F">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1302.</w:t>
      </w:r>
    </w:p>
    <w:p w:rsidR="007A5BD9" w:rsidRPr="00E3081F" w:rsidRDefault="006F57AF" w:rsidP="001112F4">
      <w:pPr>
        <w:spacing w:after="0" w:line="240" w:lineRule="auto"/>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[27]</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Bhatt D</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L</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Cryer B</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L</w:t>
      </w:r>
      <w:r w:rsidR="00126C2F">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Contant</w:t>
      </w:r>
      <w:proofErr w:type="spellEnd"/>
      <w:r w:rsidRPr="00E3081F">
        <w:rPr>
          <w:rFonts w:ascii="Times New Roman" w:eastAsia="宋体" w:hAnsi="Times New Roman" w:cs="Times New Roman"/>
          <w:color w:val="000000" w:themeColor="text1"/>
          <w:sz w:val="24"/>
          <w:szCs w:val="24"/>
        </w:rPr>
        <w:t xml:space="preserve"> C</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F</w:t>
      </w:r>
      <w:r w:rsidR="00126C2F">
        <w:rPr>
          <w:rFonts w:ascii="Times New Roman" w:eastAsia="宋体" w:hAnsi="Times New Roman" w:cs="Times New Roman" w:hint="eastAsia"/>
          <w:color w:val="000000" w:themeColor="text1"/>
          <w:sz w:val="24"/>
          <w:szCs w:val="24"/>
        </w:rPr>
        <w:t xml:space="preserve">, </w:t>
      </w:r>
      <w:r w:rsidRPr="00126C2F">
        <w:rPr>
          <w:rFonts w:ascii="Times New Roman" w:eastAsia="宋体" w:hAnsi="Times New Roman" w:cs="Times New Roman"/>
          <w:i/>
          <w:color w:val="000000" w:themeColor="text1"/>
          <w:sz w:val="24"/>
          <w:szCs w:val="24"/>
        </w:rPr>
        <w:t>et al</w:t>
      </w:r>
      <w:r w:rsidR="00126C2F">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Clopidogrel</w:t>
      </w:r>
      <w:proofErr w:type="spellEnd"/>
      <w:r w:rsidRPr="00E3081F">
        <w:rPr>
          <w:rFonts w:ascii="Times New Roman" w:eastAsia="宋体" w:hAnsi="Times New Roman" w:cs="Times New Roman"/>
          <w:color w:val="000000" w:themeColor="text1"/>
          <w:sz w:val="24"/>
          <w:szCs w:val="24"/>
        </w:rPr>
        <w:t xml:space="preserve"> with or without </w:t>
      </w:r>
      <w:proofErr w:type="spellStart"/>
      <w:r w:rsidRPr="00E3081F">
        <w:rPr>
          <w:rFonts w:ascii="Times New Roman" w:eastAsia="宋体" w:hAnsi="Times New Roman" w:cs="Times New Roman"/>
          <w:color w:val="000000" w:themeColor="text1"/>
          <w:sz w:val="24"/>
          <w:szCs w:val="24"/>
        </w:rPr>
        <w:t>omeprasole</w:t>
      </w:r>
      <w:proofErr w:type="spellEnd"/>
      <w:r w:rsidRPr="00E3081F">
        <w:rPr>
          <w:rFonts w:ascii="Times New Roman" w:eastAsia="宋体" w:hAnsi="Times New Roman" w:cs="Times New Roman"/>
          <w:color w:val="000000" w:themeColor="text1"/>
          <w:sz w:val="24"/>
          <w:szCs w:val="24"/>
        </w:rPr>
        <w:t xml:space="preserve"> in coronary artery disease[J]</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 xml:space="preserve">N </w:t>
      </w:r>
      <w:proofErr w:type="spellStart"/>
      <w:r w:rsidRPr="00E3081F">
        <w:rPr>
          <w:rFonts w:ascii="Times New Roman" w:eastAsia="宋体" w:hAnsi="Times New Roman" w:cs="Times New Roman"/>
          <w:color w:val="000000" w:themeColor="text1"/>
          <w:sz w:val="24"/>
          <w:szCs w:val="24"/>
        </w:rPr>
        <w:t>Engl</w:t>
      </w:r>
      <w:proofErr w:type="spellEnd"/>
      <w:r w:rsidRPr="00E3081F">
        <w:rPr>
          <w:rFonts w:ascii="Times New Roman" w:eastAsia="宋体" w:hAnsi="Times New Roman" w:cs="Times New Roman"/>
          <w:color w:val="000000" w:themeColor="text1"/>
          <w:sz w:val="24"/>
          <w:szCs w:val="24"/>
        </w:rPr>
        <w:t xml:space="preserve"> J Med</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2010</w:t>
      </w:r>
      <w:proofErr w:type="gramStart"/>
      <w:r w:rsidR="00126C2F">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363</w:t>
      </w:r>
      <w:r w:rsidR="00126C2F">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1909</w:t>
      </w:r>
      <w:proofErr w:type="gramEnd"/>
      <w:r w:rsidR="00126C2F">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1917</w:t>
      </w:r>
      <w:r w:rsidR="00126C2F">
        <w:rPr>
          <w:rFonts w:ascii="Times New Roman" w:eastAsia="宋体" w:hAnsi="Times New Roman" w:cs="Times New Roman" w:hint="eastAsia"/>
          <w:color w:val="000000" w:themeColor="text1"/>
          <w:sz w:val="24"/>
          <w:szCs w:val="24"/>
        </w:rPr>
        <w:t>.</w:t>
      </w:r>
    </w:p>
    <w:p w:rsidR="007A5BD9" w:rsidRPr="00E3081F" w:rsidRDefault="006F57AF" w:rsidP="001112F4">
      <w:pPr>
        <w:spacing w:after="0" w:line="240" w:lineRule="auto"/>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[28] Hsu P</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I, Lai K</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H, Liu C</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P</w:t>
      </w:r>
      <w:r w:rsidR="00126C2F">
        <w:rPr>
          <w:rFonts w:ascii="Times New Roman" w:eastAsia="宋体" w:hAnsi="Times New Roman" w:cs="Times New Roman" w:hint="eastAsia"/>
          <w:color w:val="000000" w:themeColor="text1"/>
          <w:sz w:val="24"/>
          <w:szCs w:val="24"/>
        </w:rPr>
        <w:t xml:space="preserve">, </w:t>
      </w:r>
      <w:r w:rsidRPr="00126C2F">
        <w:rPr>
          <w:rFonts w:ascii="Times New Roman" w:eastAsia="宋体" w:hAnsi="Times New Roman" w:cs="Times New Roman"/>
          <w:i/>
          <w:color w:val="000000" w:themeColor="text1"/>
          <w:sz w:val="24"/>
          <w:szCs w:val="24"/>
        </w:rPr>
        <w:t>et al</w:t>
      </w:r>
      <w:r w:rsidRPr="00E3081F">
        <w:rPr>
          <w:rFonts w:ascii="Times New Roman" w:eastAsia="宋体" w:hAnsi="Times New Roman" w:cs="Times New Roman"/>
          <w:color w:val="000000" w:themeColor="text1"/>
          <w:sz w:val="24"/>
          <w:szCs w:val="24"/>
        </w:rPr>
        <w:t xml:space="preserve">. Esomeprazole With </w:t>
      </w:r>
      <w:proofErr w:type="spellStart"/>
      <w:r w:rsidRPr="00E3081F">
        <w:rPr>
          <w:rFonts w:ascii="Times New Roman" w:eastAsia="宋体" w:hAnsi="Times New Roman" w:cs="Times New Roman"/>
          <w:color w:val="000000" w:themeColor="text1"/>
          <w:sz w:val="24"/>
          <w:szCs w:val="24"/>
        </w:rPr>
        <w:t>Clopidogrel</w:t>
      </w:r>
      <w:proofErr w:type="spellEnd"/>
      <w:r w:rsidRPr="00E3081F">
        <w:rPr>
          <w:rFonts w:ascii="Times New Roman" w:eastAsia="宋体" w:hAnsi="Times New Roman" w:cs="Times New Roman"/>
          <w:color w:val="000000" w:themeColor="text1"/>
          <w:sz w:val="24"/>
          <w:szCs w:val="24"/>
        </w:rPr>
        <w:t xml:space="preserve"> Reduces Peptic Ulcer Recurrence, Compared With </w:t>
      </w:r>
      <w:proofErr w:type="spellStart"/>
      <w:r w:rsidRPr="00E3081F">
        <w:rPr>
          <w:rFonts w:ascii="Times New Roman" w:eastAsia="宋体" w:hAnsi="Times New Roman" w:cs="Times New Roman"/>
          <w:color w:val="000000" w:themeColor="text1"/>
          <w:sz w:val="24"/>
          <w:szCs w:val="24"/>
        </w:rPr>
        <w:t>Clopidogrel</w:t>
      </w:r>
      <w:proofErr w:type="spellEnd"/>
      <w:r w:rsidRPr="00E3081F">
        <w:rPr>
          <w:rFonts w:ascii="Times New Roman" w:eastAsia="宋体" w:hAnsi="Times New Roman" w:cs="Times New Roman"/>
          <w:color w:val="000000" w:themeColor="text1"/>
          <w:sz w:val="24"/>
          <w:szCs w:val="24"/>
        </w:rPr>
        <w:t xml:space="preserve"> Alone, in Patients With </w:t>
      </w:r>
      <w:proofErr w:type="gramStart"/>
      <w:r w:rsidRPr="00E3081F">
        <w:rPr>
          <w:rFonts w:ascii="Times New Roman" w:eastAsia="宋体" w:hAnsi="Times New Roman" w:cs="Times New Roman"/>
          <w:color w:val="000000" w:themeColor="text1"/>
          <w:sz w:val="24"/>
          <w:szCs w:val="24"/>
        </w:rPr>
        <w:t>Atherosclerosis[</w:t>
      </w:r>
      <w:proofErr w:type="gramEnd"/>
      <w:r w:rsidRPr="00E3081F">
        <w:rPr>
          <w:rFonts w:ascii="Times New Roman" w:eastAsia="宋体" w:hAnsi="Times New Roman" w:cs="Times New Roman"/>
          <w:color w:val="000000" w:themeColor="text1"/>
          <w:sz w:val="24"/>
          <w:szCs w:val="24"/>
        </w:rPr>
        <w:t>J].</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Gastroenterology</w:t>
      </w:r>
      <w:r w:rsidR="00126C2F">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 xml:space="preserve"> 2011</w:t>
      </w:r>
      <w:proofErr w:type="gramStart"/>
      <w:r w:rsidR="00126C2F">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140</w:t>
      </w:r>
      <w:proofErr w:type="gramEnd"/>
      <w:r w:rsidRPr="00E3081F">
        <w:rPr>
          <w:rFonts w:ascii="Times New Roman" w:eastAsia="宋体" w:hAnsi="Times New Roman" w:cs="Times New Roman"/>
          <w:color w:val="000000" w:themeColor="text1"/>
          <w:sz w:val="24"/>
          <w:szCs w:val="24"/>
        </w:rPr>
        <w:t>(3):791-</w:t>
      </w:r>
      <w:r w:rsidR="00126C2F">
        <w:rPr>
          <w:rFonts w:ascii="Times New Roman" w:eastAsia="宋体" w:hAnsi="Times New Roman" w:cs="Times New Roman" w:hint="eastAsia"/>
          <w:color w:val="000000" w:themeColor="text1"/>
          <w:sz w:val="24"/>
          <w:szCs w:val="24"/>
        </w:rPr>
        <w:t>79</w:t>
      </w:r>
      <w:r w:rsidRPr="00E3081F">
        <w:rPr>
          <w:rFonts w:ascii="Times New Roman" w:eastAsia="宋体" w:hAnsi="Times New Roman" w:cs="Times New Roman"/>
          <w:color w:val="000000" w:themeColor="text1"/>
          <w:sz w:val="24"/>
          <w:szCs w:val="24"/>
        </w:rPr>
        <w:t xml:space="preserve">8. </w:t>
      </w:r>
    </w:p>
    <w:p w:rsidR="007A5BD9" w:rsidRPr="00E3081F" w:rsidRDefault="006F57AF" w:rsidP="001112F4">
      <w:pPr>
        <w:spacing w:after="0" w:line="240" w:lineRule="auto"/>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[29]</w:t>
      </w:r>
      <w:r w:rsidR="00126C2F">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Shalev</w:t>
      </w:r>
      <w:proofErr w:type="spellEnd"/>
      <w:r w:rsidRPr="00E3081F">
        <w:rPr>
          <w:rFonts w:ascii="Times New Roman" w:eastAsia="宋体" w:hAnsi="Times New Roman" w:cs="Times New Roman"/>
          <w:color w:val="000000" w:themeColor="text1"/>
          <w:sz w:val="24"/>
          <w:szCs w:val="24"/>
        </w:rPr>
        <w:t xml:space="preserve"> A</w:t>
      </w:r>
      <w:r w:rsidR="00126C2F">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Zahger</w:t>
      </w:r>
      <w:proofErr w:type="spellEnd"/>
      <w:r w:rsidRPr="00E3081F">
        <w:rPr>
          <w:rFonts w:ascii="Times New Roman" w:eastAsia="宋体" w:hAnsi="Times New Roman" w:cs="Times New Roman"/>
          <w:color w:val="000000" w:themeColor="text1"/>
          <w:sz w:val="24"/>
          <w:szCs w:val="24"/>
        </w:rPr>
        <w:t xml:space="preserve"> D</w:t>
      </w:r>
      <w:r w:rsidR="00126C2F">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Novack</w:t>
      </w:r>
      <w:proofErr w:type="spellEnd"/>
      <w:r w:rsidRPr="00E3081F">
        <w:rPr>
          <w:rFonts w:ascii="Times New Roman" w:eastAsia="宋体" w:hAnsi="Times New Roman" w:cs="Times New Roman"/>
          <w:color w:val="000000" w:themeColor="text1"/>
          <w:sz w:val="24"/>
          <w:szCs w:val="24"/>
        </w:rPr>
        <w:t xml:space="preserve"> V</w:t>
      </w:r>
      <w:r w:rsidR="00126C2F">
        <w:rPr>
          <w:rFonts w:ascii="Times New Roman" w:eastAsia="宋体" w:hAnsi="Times New Roman" w:cs="Times New Roman" w:hint="eastAsia"/>
          <w:color w:val="000000" w:themeColor="text1"/>
          <w:sz w:val="24"/>
          <w:szCs w:val="24"/>
        </w:rPr>
        <w:t>,</w:t>
      </w:r>
      <w:r w:rsidR="00126C2F" w:rsidRPr="00126C2F">
        <w:rPr>
          <w:rFonts w:ascii="Times New Roman" w:eastAsia="宋体" w:hAnsi="Times New Roman" w:cs="Times New Roman" w:hint="eastAsia"/>
          <w:i/>
          <w:color w:val="000000" w:themeColor="text1"/>
          <w:sz w:val="24"/>
          <w:szCs w:val="24"/>
        </w:rPr>
        <w:t xml:space="preserve"> </w:t>
      </w:r>
      <w:r w:rsidRPr="00126C2F">
        <w:rPr>
          <w:rFonts w:ascii="Times New Roman" w:eastAsia="宋体" w:hAnsi="Times New Roman" w:cs="Times New Roman"/>
          <w:i/>
          <w:color w:val="000000" w:themeColor="text1"/>
          <w:sz w:val="24"/>
          <w:szCs w:val="24"/>
        </w:rPr>
        <w:t>et al</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Incidence</w:t>
      </w:r>
      <w:r w:rsidRPr="00E3081F">
        <w:rPr>
          <w:rFonts w:ascii="Times New Roman" w:eastAsia="宋体" w:hAnsi="Times New Roman" w:cs="Times New Roman"/>
          <w:color w:val="000000" w:themeColor="text1"/>
          <w:sz w:val="24"/>
          <w:szCs w:val="24"/>
        </w:rPr>
        <w:t>．</w:t>
      </w:r>
      <w:r w:rsidRPr="00E3081F">
        <w:rPr>
          <w:rFonts w:ascii="Times New Roman" w:eastAsia="宋体" w:hAnsi="Times New Roman" w:cs="Times New Roman"/>
          <w:color w:val="000000" w:themeColor="text1"/>
          <w:sz w:val="24"/>
          <w:szCs w:val="24"/>
        </w:rPr>
        <w:t xml:space="preserve">predictors and outcome of upper gastrointestinal bleeding in patients with acute coronary </w:t>
      </w:r>
      <w:proofErr w:type="gramStart"/>
      <w:r w:rsidRPr="00E3081F">
        <w:rPr>
          <w:rFonts w:ascii="Times New Roman" w:eastAsia="宋体" w:hAnsi="Times New Roman" w:cs="Times New Roman"/>
          <w:color w:val="000000" w:themeColor="text1"/>
          <w:sz w:val="24"/>
          <w:szCs w:val="24"/>
        </w:rPr>
        <w:t>syndromes[</w:t>
      </w:r>
      <w:proofErr w:type="gramEnd"/>
      <w:r w:rsidRPr="00E3081F">
        <w:rPr>
          <w:rFonts w:ascii="Times New Roman" w:eastAsia="宋体" w:hAnsi="Times New Roman" w:cs="Times New Roman"/>
          <w:color w:val="000000" w:themeColor="text1"/>
          <w:sz w:val="24"/>
          <w:szCs w:val="24"/>
        </w:rPr>
        <w:t>J]</w:t>
      </w:r>
      <w:r w:rsidR="00126C2F">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Int</w:t>
      </w:r>
      <w:proofErr w:type="spellEnd"/>
      <w:r w:rsidRPr="00E3081F">
        <w:rPr>
          <w:rFonts w:ascii="Times New Roman" w:eastAsia="宋体" w:hAnsi="Times New Roman" w:cs="Times New Roman"/>
          <w:color w:val="000000" w:themeColor="text1"/>
          <w:sz w:val="24"/>
          <w:szCs w:val="24"/>
        </w:rPr>
        <w:t xml:space="preserve"> J </w:t>
      </w:r>
      <w:proofErr w:type="spellStart"/>
      <w:r w:rsidRPr="00E3081F">
        <w:rPr>
          <w:rFonts w:ascii="Times New Roman" w:eastAsia="宋体" w:hAnsi="Times New Roman" w:cs="Times New Roman"/>
          <w:color w:val="000000" w:themeColor="text1"/>
          <w:sz w:val="24"/>
          <w:szCs w:val="24"/>
        </w:rPr>
        <w:t>Cardiol</w:t>
      </w:r>
      <w:proofErr w:type="spellEnd"/>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2012</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157</w:t>
      </w:r>
      <w:r w:rsidR="00126C2F">
        <w:rPr>
          <w:rFonts w:ascii="Times New Roman" w:eastAsia="宋体" w:hAnsi="Times New Roman" w:cs="Times New Roman" w:hint="eastAsia"/>
          <w:color w:val="000000" w:themeColor="text1"/>
          <w:sz w:val="24"/>
          <w:szCs w:val="24"/>
        </w:rPr>
        <w:t>(3):</w:t>
      </w:r>
      <w:r w:rsidRPr="00E3081F">
        <w:rPr>
          <w:rFonts w:ascii="Times New Roman" w:eastAsia="宋体" w:hAnsi="Times New Roman" w:cs="Times New Roman"/>
          <w:color w:val="000000" w:themeColor="text1"/>
          <w:sz w:val="24"/>
          <w:szCs w:val="24"/>
        </w:rPr>
        <w:t>386-390</w:t>
      </w:r>
      <w:r w:rsidR="00126C2F">
        <w:rPr>
          <w:rFonts w:ascii="Times New Roman" w:eastAsia="宋体" w:hAnsi="Times New Roman" w:cs="Times New Roman" w:hint="eastAsia"/>
          <w:color w:val="000000" w:themeColor="text1"/>
          <w:sz w:val="24"/>
          <w:szCs w:val="24"/>
        </w:rPr>
        <w:t>.</w:t>
      </w:r>
    </w:p>
    <w:p w:rsidR="007A5BD9" w:rsidRPr="00E3081F" w:rsidRDefault="006F57AF" w:rsidP="001112F4">
      <w:pPr>
        <w:spacing w:after="0" w:line="240" w:lineRule="auto"/>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[30]</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Hallas J</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Dall M</w:t>
      </w:r>
      <w:r w:rsidR="00126C2F">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Andries</w:t>
      </w:r>
      <w:proofErr w:type="spellEnd"/>
      <w:r w:rsidRPr="00E3081F">
        <w:rPr>
          <w:rFonts w:ascii="Times New Roman" w:eastAsia="宋体" w:hAnsi="Times New Roman" w:cs="Times New Roman"/>
          <w:color w:val="000000" w:themeColor="text1"/>
          <w:sz w:val="24"/>
          <w:szCs w:val="24"/>
        </w:rPr>
        <w:t xml:space="preserve"> A</w:t>
      </w:r>
      <w:r w:rsidR="00126C2F">
        <w:rPr>
          <w:rFonts w:ascii="Times New Roman" w:eastAsia="宋体" w:hAnsi="Times New Roman" w:cs="Times New Roman" w:hint="eastAsia"/>
          <w:color w:val="000000" w:themeColor="text1"/>
          <w:sz w:val="24"/>
          <w:szCs w:val="24"/>
        </w:rPr>
        <w:t xml:space="preserve">, </w:t>
      </w:r>
      <w:r w:rsidRPr="00126C2F">
        <w:rPr>
          <w:rFonts w:ascii="Times New Roman" w:eastAsia="宋体" w:hAnsi="Times New Roman" w:cs="Times New Roman"/>
          <w:i/>
          <w:color w:val="000000" w:themeColor="text1"/>
          <w:sz w:val="24"/>
          <w:szCs w:val="24"/>
        </w:rPr>
        <w:t>et al</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Use of single and combined antithrombotic therapy and risk of serious upper gastrointestinal bleeding</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 xml:space="preserve">population based case-control </w:t>
      </w:r>
      <w:proofErr w:type="gramStart"/>
      <w:r w:rsidRPr="00E3081F">
        <w:rPr>
          <w:rFonts w:ascii="Times New Roman" w:eastAsia="宋体" w:hAnsi="Times New Roman" w:cs="Times New Roman"/>
          <w:color w:val="000000" w:themeColor="text1"/>
          <w:sz w:val="24"/>
          <w:szCs w:val="24"/>
        </w:rPr>
        <w:t>study[</w:t>
      </w:r>
      <w:proofErr w:type="gramEnd"/>
      <w:r w:rsidRPr="00E3081F">
        <w:rPr>
          <w:rFonts w:ascii="Times New Roman" w:eastAsia="宋体" w:hAnsi="Times New Roman" w:cs="Times New Roman"/>
          <w:color w:val="000000" w:themeColor="text1"/>
          <w:sz w:val="24"/>
          <w:szCs w:val="24"/>
        </w:rPr>
        <w:t>J]</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BMJ</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2006</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333</w:t>
      </w:r>
      <w:r w:rsidR="00126C2F">
        <w:rPr>
          <w:rFonts w:ascii="Times New Roman" w:eastAsia="宋体" w:hAnsi="Times New Roman" w:cs="Times New Roman" w:hint="eastAsia"/>
          <w:color w:val="000000" w:themeColor="text1"/>
          <w:sz w:val="24"/>
          <w:szCs w:val="24"/>
        </w:rPr>
        <w:t>(7571):</w:t>
      </w:r>
      <w:r w:rsidRPr="00E3081F">
        <w:rPr>
          <w:rFonts w:ascii="Times New Roman" w:eastAsia="宋体" w:hAnsi="Times New Roman" w:cs="Times New Roman"/>
          <w:color w:val="000000" w:themeColor="text1"/>
          <w:sz w:val="24"/>
          <w:szCs w:val="24"/>
        </w:rPr>
        <w:t>726</w:t>
      </w:r>
      <w:r w:rsidR="00126C2F">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 xml:space="preserve"> </w:t>
      </w:r>
    </w:p>
    <w:p w:rsidR="007A5BD9" w:rsidRPr="00E3081F" w:rsidRDefault="006F57AF" w:rsidP="001112F4">
      <w:pPr>
        <w:spacing w:after="0" w:line="240" w:lineRule="auto"/>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[31]</w:t>
      </w:r>
      <w:r w:rsidR="00126C2F">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Lanas</w:t>
      </w:r>
      <w:proofErr w:type="spellEnd"/>
      <w:r w:rsidRPr="00E3081F">
        <w:rPr>
          <w:rFonts w:ascii="Times New Roman" w:eastAsia="宋体" w:hAnsi="Times New Roman" w:cs="Times New Roman"/>
          <w:color w:val="000000" w:themeColor="text1"/>
          <w:sz w:val="24"/>
          <w:szCs w:val="24"/>
        </w:rPr>
        <w:t xml:space="preserve"> A</w:t>
      </w:r>
      <w:r w:rsidR="00126C2F">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GarciaRodriguez</w:t>
      </w:r>
      <w:proofErr w:type="spellEnd"/>
      <w:r w:rsidRPr="00E3081F">
        <w:rPr>
          <w:rFonts w:ascii="Times New Roman" w:eastAsia="宋体" w:hAnsi="Times New Roman" w:cs="Times New Roman"/>
          <w:color w:val="000000" w:themeColor="text1"/>
          <w:sz w:val="24"/>
          <w:szCs w:val="24"/>
        </w:rPr>
        <w:t xml:space="preserve"> L</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A</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Arroyo M</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T</w:t>
      </w:r>
      <w:r w:rsidR="00126C2F">
        <w:rPr>
          <w:rFonts w:ascii="Times New Roman" w:eastAsia="宋体" w:hAnsi="Times New Roman" w:cs="Times New Roman" w:hint="eastAsia"/>
          <w:color w:val="000000" w:themeColor="text1"/>
          <w:sz w:val="24"/>
          <w:szCs w:val="24"/>
        </w:rPr>
        <w:t xml:space="preserve">, </w:t>
      </w:r>
      <w:r w:rsidRPr="00126C2F">
        <w:rPr>
          <w:rFonts w:ascii="Times New Roman" w:eastAsia="宋体" w:hAnsi="Times New Roman" w:cs="Times New Roman"/>
          <w:i/>
          <w:color w:val="000000" w:themeColor="text1"/>
          <w:sz w:val="24"/>
          <w:szCs w:val="24"/>
        </w:rPr>
        <w:t>et al</w:t>
      </w:r>
      <w:r w:rsidR="00126C2F">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Risk of upper gastrointestinal ulcer bleeding associated with selective cyclo-oxygenase-2 inhibitors,</w:t>
      </w:r>
      <w:r w:rsidR="00A60101">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traditional non-aspirin non-steroidal anti-inflammatory drugs</w:t>
      </w:r>
      <w:r w:rsidRPr="00E3081F">
        <w:rPr>
          <w:rFonts w:ascii="Times New Roman" w:eastAsia="宋体" w:hAnsi="Times New Roman" w:cs="Times New Roman"/>
          <w:color w:val="000000" w:themeColor="text1"/>
          <w:sz w:val="24"/>
          <w:szCs w:val="24"/>
        </w:rPr>
        <w:t>，</w:t>
      </w:r>
      <w:r w:rsidRPr="00E3081F">
        <w:rPr>
          <w:rFonts w:ascii="Times New Roman" w:eastAsia="宋体" w:hAnsi="Times New Roman" w:cs="Times New Roman"/>
          <w:color w:val="000000" w:themeColor="text1"/>
          <w:sz w:val="24"/>
          <w:szCs w:val="24"/>
        </w:rPr>
        <w:t>aspirin and combinations[J]</w:t>
      </w:r>
      <w:r w:rsidR="00A60101">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Gut</w:t>
      </w:r>
      <w:r w:rsidR="00A60101">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2006</w:t>
      </w:r>
      <w:r w:rsidR="00A60101">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55</w:t>
      </w:r>
      <w:r w:rsidR="00A60101">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1731-1738</w:t>
      </w:r>
      <w:r w:rsidR="00A60101">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 xml:space="preserve"> </w:t>
      </w:r>
    </w:p>
    <w:p w:rsidR="007A5BD9" w:rsidRPr="00E3081F" w:rsidRDefault="006F57AF" w:rsidP="001112F4">
      <w:pPr>
        <w:spacing w:after="0" w:line="240" w:lineRule="auto"/>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[32]</w:t>
      </w:r>
      <w:r w:rsidR="00A60101">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García</w:t>
      </w:r>
      <w:proofErr w:type="spellEnd"/>
      <w:r w:rsidRPr="00E3081F">
        <w:rPr>
          <w:rFonts w:ascii="Times New Roman" w:eastAsia="宋体" w:hAnsi="Times New Roman" w:cs="Times New Roman"/>
          <w:color w:val="000000" w:themeColor="text1"/>
          <w:sz w:val="24"/>
          <w:szCs w:val="24"/>
        </w:rPr>
        <w:t xml:space="preserve"> R</w:t>
      </w:r>
      <w:r w:rsidR="00A60101">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L</w:t>
      </w:r>
      <w:r w:rsidR="00A60101">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A, Lin</w:t>
      </w:r>
      <w:r w:rsidR="00A60101">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K</w:t>
      </w:r>
      <w:r w:rsidR="00A60101">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J, Hernández-</w:t>
      </w:r>
      <w:proofErr w:type="spellStart"/>
      <w:r w:rsidRPr="00E3081F">
        <w:rPr>
          <w:rFonts w:ascii="Times New Roman" w:eastAsia="宋体" w:hAnsi="Times New Roman" w:cs="Times New Roman"/>
          <w:color w:val="000000" w:themeColor="text1"/>
          <w:sz w:val="24"/>
          <w:szCs w:val="24"/>
        </w:rPr>
        <w:t>Díaz</w:t>
      </w:r>
      <w:proofErr w:type="spellEnd"/>
      <w:r w:rsidR="00A60101">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S,</w:t>
      </w:r>
      <w:r w:rsidR="00A60101" w:rsidRPr="00A60101">
        <w:rPr>
          <w:rFonts w:ascii="Times New Roman" w:eastAsia="宋体" w:hAnsi="Times New Roman" w:cs="Times New Roman" w:hint="eastAsia"/>
          <w:i/>
          <w:color w:val="000000" w:themeColor="text1"/>
          <w:sz w:val="24"/>
          <w:szCs w:val="24"/>
        </w:rPr>
        <w:t xml:space="preserve"> et al</w:t>
      </w:r>
      <w:r w:rsidRPr="00E3081F">
        <w:rPr>
          <w:rFonts w:ascii="Times New Roman" w:eastAsia="宋体" w:hAnsi="Times New Roman" w:cs="Times New Roman"/>
          <w:color w:val="000000" w:themeColor="text1"/>
          <w:sz w:val="24"/>
          <w:szCs w:val="24"/>
        </w:rPr>
        <w:t xml:space="preserve">. Risk of upper gastrointestinal bleeding with low-dose acetylsalicylic acid alone and in combination with </w:t>
      </w:r>
      <w:proofErr w:type="spellStart"/>
      <w:r w:rsidRPr="00E3081F">
        <w:rPr>
          <w:rFonts w:ascii="Times New Roman" w:eastAsia="宋体" w:hAnsi="Times New Roman" w:cs="Times New Roman"/>
          <w:color w:val="000000" w:themeColor="text1"/>
          <w:sz w:val="24"/>
          <w:szCs w:val="24"/>
        </w:rPr>
        <w:t>clopidogrel</w:t>
      </w:r>
      <w:proofErr w:type="spellEnd"/>
      <w:r w:rsidRPr="00E3081F">
        <w:rPr>
          <w:rFonts w:ascii="Times New Roman" w:eastAsia="宋体" w:hAnsi="Times New Roman" w:cs="Times New Roman"/>
          <w:color w:val="000000" w:themeColor="text1"/>
          <w:sz w:val="24"/>
          <w:szCs w:val="24"/>
        </w:rPr>
        <w:t xml:space="preserve"> and other medications</w:t>
      </w:r>
      <w:r w:rsidR="000277B0" w:rsidRPr="00E3081F">
        <w:rPr>
          <w:rFonts w:ascii="Times New Roman" w:eastAsia="宋体" w:hAnsi="Times New Roman" w:cs="Times New Roman"/>
          <w:color w:val="000000" w:themeColor="text1"/>
          <w:sz w:val="24"/>
          <w:szCs w:val="24"/>
        </w:rPr>
        <w:t xml:space="preserve"> </w:t>
      </w:r>
      <w:r w:rsidRPr="00E3081F">
        <w:rPr>
          <w:rFonts w:ascii="Times New Roman" w:eastAsia="宋体" w:hAnsi="Times New Roman" w:cs="Times New Roman"/>
          <w:color w:val="000000" w:themeColor="text1"/>
          <w:sz w:val="24"/>
          <w:szCs w:val="24"/>
        </w:rPr>
        <w:t>[J]</w:t>
      </w:r>
      <w:r w:rsidR="000277B0" w:rsidRPr="00E3081F">
        <w:rPr>
          <w:rFonts w:ascii="Times New Roman" w:eastAsia="宋体" w:hAnsi="Times New Roman" w:cs="Times New Roman"/>
          <w:color w:val="000000" w:themeColor="text1"/>
          <w:sz w:val="24"/>
          <w:szCs w:val="24"/>
        </w:rPr>
        <w:t>.</w:t>
      </w:r>
      <w:r w:rsidRPr="00E3081F">
        <w:rPr>
          <w:rFonts w:ascii="Times New Roman" w:eastAsia="宋体" w:hAnsi="Times New Roman" w:cs="Times New Roman"/>
          <w:color w:val="000000" w:themeColor="text1"/>
          <w:sz w:val="24"/>
          <w:szCs w:val="24"/>
        </w:rPr>
        <w:t> Circulation</w:t>
      </w:r>
      <w:proofErr w:type="gramStart"/>
      <w:r w:rsidR="000277B0">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2011</w:t>
      </w:r>
      <w:proofErr w:type="gramEnd"/>
      <w:r w:rsidR="000277B0">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 123</w:t>
      </w:r>
      <w:r w:rsidR="000277B0">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1108</w:t>
      </w:r>
      <w:r w:rsidR="000277B0">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1115</w:t>
      </w:r>
      <w:r w:rsidR="000277B0">
        <w:rPr>
          <w:rFonts w:ascii="Times New Roman" w:eastAsia="宋体" w:hAnsi="Times New Roman" w:cs="Times New Roman" w:hint="eastAsia"/>
          <w:color w:val="000000" w:themeColor="text1"/>
          <w:sz w:val="24"/>
          <w:szCs w:val="24"/>
        </w:rPr>
        <w:t>.</w:t>
      </w:r>
    </w:p>
    <w:p w:rsidR="007A5BD9" w:rsidRPr="00E3081F" w:rsidRDefault="006F57AF" w:rsidP="001112F4">
      <w:pPr>
        <w:spacing w:after="0" w:line="240" w:lineRule="auto"/>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[33]</w:t>
      </w:r>
      <w:r w:rsidR="000277B0">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Taha</w:t>
      </w:r>
      <w:proofErr w:type="spellEnd"/>
      <w:r w:rsidRPr="00E3081F">
        <w:rPr>
          <w:rFonts w:ascii="Times New Roman" w:eastAsia="宋体" w:hAnsi="Times New Roman" w:cs="Times New Roman"/>
          <w:color w:val="000000" w:themeColor="text1"/>
          <w:sz w:val="24"/>
          <w:szCs w:val="24"/>
        </w:rPr>
        <w:t xml:space="preserve"> A</w:t>
      </w:r>
      <w:r w:rsidR="000277B0">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S</w:t>
      </w:r>
      <w:r w:rsidR="000277B0">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Angerson</w:t>
      </w:r>
      <w:proofErr w:type="spellEnd"/>
      <w:r w:rsidRPr="00E3081F">
        <w:rPr>
          <w:rFonts w:ascii="Times New Roman" w:eastAsia="宋体" w:hAnsi="Times New Roman" w:cs="Times New Roman"/>
          <w:color w:val="000000" w:themeColor="text1"/>
          <w:sz w:val="24"/>
          <w:szCs w:val="24"/>
        </w:rPr>
        <w:t xml:space="preserve"> W</w:t>
      </w:r>
      <w:r w:rsidR="000277B0">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J</w:t>
      </w:r>
      <w:r w:rsidR="000277B0">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Prasad R</w:t>
      </w:r>
      <w:r w:rsidR="000277B0">
        <w:rPr>
          <w:rFonts w:ascii="Times New Roman" w:eastAsia="宋体" w:hAnsi="Times New Roman" w:cs="Times New Roman" w:hint="eastAsia"/>
          <w:color w:val="000000" w:themeColor="text1"/>
          <w:sz w:val="24"/>
          <w:szCs w:val="24"/>
        </w:rPr>
        <w:t>,</w:t>
      </w:r>
      <w:r w:rsidR="000277B0" w:rsidRPr="000277B0">
        <w:rPr>
          <w:rFonts w:ascii="Times New Roman" w:eastAsia="宋体" w:hAnsi="Times New Roman" w:cs="Times New Roman" w:hint="eastAsia"/>
          <w:i/>
          <w:color w:val="000000" w:themeColor="text1"/>
          <w:sz w:val="24"/>
          <w:szCs w:val="24"/>
        </w:rPr>
        <w:t xml:space="preserve"> </w:t>
      </w:r>
      <w:r w:rsidRPr="000277B0">
        <w:rPr>
          <w:rFonts w:ascii="Times New Roman" w:eastAsia="宋体" w:hAnsi="Times New Roman" w:cs="Times New Roman"/>
          <w:i/>
          <w:color w:val="000000" w:themeColor="text1"/>
          <w:sz w:val="24"/>
          <w:szCs w:val="24"/>
        </w:rPr>
        <w:t>et al</w:t>
      </w:r>
      <w:r w:rsidR="000277B0">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Clinical trial</w:t>
      </w:r>
      <w:r w:rsidR="000277B0">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the incidence and early mortality after peptic ulcer perforation</w:t>
      </w:r>
      <w:r w:rsidR="000277B0">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and the use of low</w:t>
      </w:r>
      <w:r w:rsidR="000277B0">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dose aspirin and nonsteroidal anti-inflammatory drugs[J]</w:t>
      </w:r>
      <w:r w:rsidR="000277B0">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 xml:space="preserve">Aliment </w:t>
      </w:r>
      <w:proofErr w:type="spellStart"/>
      <w:r w:rsidRPr="00E3081F">
        <w:rPr>
          <w:rFonts w:ascii="Times New Roman" w:eastAsia="宋体" w:hAnsi="Times New Roman" w:cs="Times New Roman"/>
          <w:color w:val="000000" w:themeColor="text1"/>
          <w:sz w:val="24"/>
          <w:szCs w:val="24"/>
        </w:rPr>
        <w:t>Pharmacol</w:t>
      </w:r>
      <w:proofErr w:type="spellEnd"/>
      <w:r w:rsidRPr="00E3081F">
        <w:rPr>
          <w:rFonts w:ascii="Times New Roman" w:eastAsia="宋体" w:hAnsi="Times New Roman" w:cs="Times New Roman"/>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Ther</w:t>
      </w:r>
      <w:proofErr w:type="spellEnd"/>
      <w:r w:rsidR="000277B0">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2008</w:t>
      </w:r>
      <w:proofErr w:type="gramStart"/>
      <w:r w:rsidR="000277B0">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28</w:t>
      </w:r>
      <w:proofErr w:type="gramEnd"/>
      <w:r w:rsidR="000277B0">
        <w:rPr>
          <w:rFonts w:ascii="Times New Roman" w:eastAsia="宋体" w:hAnsi="Times New Roman" w:cs="Times New Roman" w:hint="eastAsia"/>
          <w:color w:val="000000" w:themeColor="text1"/>
          <w:sz w:val="24"/>
          <w:szCs w:val="24"/>
        </w:rPr>
        <w:t>(7):</w:t>
      </w:r>
      <w:r w:rsidRPr="00E3081F">
        <w:rPr>
          <w:rFonts w:ascii="Times New Roman" w:eastAsia="宋体" w:hAnsi="Times New Roman" w:cs="Times New Roman"/>
          <w:color w:val="000000" w:themeColor="text1"/>
          <w:sz w:val="24"/>
          <w:szCs w:val="24"/>
        </w:rPr>
        <w:t>878</w:t>
      </w:r>
      <w:r w:rsidR="000277B0">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885</w:t>
      </w:r>
      <w:r w:rsidR="000277B0">
        <w:rPr>
          <w:rFonts w:ascii="Times New Roman" w:eastAsia="宋体" w:hAnsi="Times New Roman" w:cs="Times New Roman" w:hint="eastAsia"/>
          <w:color w:val="000000" w:themeColor="text1"/>
          <w:sz w:val="24"/>
          <w:szCs w:val="24"/>
        </w:rPr>
        <w:t>.</w:t>
      </w:r>
    </w:p>
    <w:p w:rsidR="007A5BD9" w:rsidRPr="00E3081F" w:rsidRDefault="006F57AF" w:rsidP="001112F4">
      <w:pPr>
        <w:spacing w:after="0" w:line="240" w:lineRule="auto"/>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[34]</w:t>
      </w:r>
      <w:r w:rsidR="000277B0">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Yeomans</w:t>
      </w:r>
      <w:proofErr w:type="spellEnd"/>
      <w:r w:rsidRPr="00E3081F">
        <w:rPr>
          <w:rFonts w:ascii="Times New Roman" w:eastAsia="宋体" w:hAnsi="Times New Roman" w:cs="Times New Roman"/>
          <w:color w:val="000000" w:themeColor="text1"/>
          <w:sz w:val="24"/>
          <w:szCs w:val="24"/>
        </w:rPr>
        <w:t xml:space="preserve"> N</w:t>
      </w:r>
      <w:r w:rsidR="000277B0">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D</w:t>
      </w:r>
      <w:r w:rsidR="000277B0">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Lanas</w:t>
      </w:r>
      <w:proofErr w:type="spellEnd"/>
      <w:r w:rsidRPr="00E3081F">
        <w:rPr>
          <w:rFonts w:ascii="Times New Roman" w:eastAsia="宋体" w:hAnsi="Times New Roman" w:cs="Times New Roman"/>
          <w:color w:val="000000" w:themeColor="text1"/>
          <w:sz w:val="24"/>
          <w:szCs w:val="24"/>
        </w:rPr>
        <w:t xml:space="preserve"> A</w:t>
      </w:r>
      <w:r w:rsidR="000277B0">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I</w:t>
      </w:r>
      <w:r w:rsidR="000277B0">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Talley N</w:t>
      </w:r>
      <w:r w:rsidR="000277B0">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J</w:t>
      </w:r>
      <w:r w:rsidR="000277B0">
        <w:rPr>
          <w:rFonts w:ascii="Times New Roman" w:eastAsia="宋体" w:hAnsi="Times New Roman" w:cs="Times New Roman" w:hint="eastAsia"/>
          <w:color w:val="000000" w:themeColor="text1"/>
          <w:sz w:val="24"/>
          <w:szCs w:val="24"/>
        </w:rPr>
        <w:t xml:space="preserve">, </w:t>
      </w:r>
      <w:r w:rsidRPr="000277B0">
        <w:rPr>
          <w:rFonts w:ascii="Times New Roman" w:eastAsia="宋体" w:hAnsi="Times New Roman" w:cs="Times New Roman"/>
          <w:i/>
          <w:color w:val="000000" w:themeColor="text1"/>
          <w:sz w:val="24"/>
          <w:szCs w:val="24"/>
        </w:rPr>
        <w:t>et al</w:t>
      </w:r>
      <w:r w:rsidR="000277B0">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Prevalence and incidence of gastroduodenal ulcers during treatment with vascular protective doses of aspirin[J]</w:t>
      </w:r>
      <w:r w:rsidR="000277B0">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 xml:space="preserve">Aliment </w:t>
      </w:r>
      <w:proofErr w:type="spellStart"/>
      <w:r w:rsidRPr="00E3081F">
        <w:rPr>
          <w:rFonts w:ascii="Times New Roman" w:eastAsia="宋体" w:hAnsi="Times New Roman" w:cs="Times New Roman"/>
          <w:color w:val="000000" w:themeColor="text1"/>
          <w:sz w:val="24"/>
          <w:szCs w:val="24"/>
        </w:rPr>
        <w:t>Pharmacol</w:t>
      </w:r>
      <w:proofErr w:type="spellEnd"/>
      <w:r w:rsidRPr="00E3081F">
        <w:rPr>
          <w:rFonts w:ascii="Times New Roman" w:eastAsia="宋体" w:hAnsi="Times New Roman" w:cs="Times New Roman"/>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Ther</w:t>
      </w:r>
      <w:proofErr w:type="spellEnd"/>
      <w:r w:rsidR="000277B0">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2005</w:t>
      </w:r>
      <w:r w:rsidR="000277B0">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22</w:t>
      </w:r>
      <w:r w:rsidR="000277B0">
        <w:rPr>
          <w:rFonts w:ascii="Times New Roman" w:eastAsia="宋体" w:hAnsi="Times New Roman" w:cs="Times New Roman" w:hint="eastAsia"/>
          <w:color w:val="000000" w:themeColor="text1"/>
          <w:sz w:val="24"/>
          <w:szCs w:val="24"/>
        </w:rPr>
        <w:t>(9):</w:t>
      </w:r>
      <w:r w:rsidRPr="00E3081F">
        <w:rPr>
          <w:rFonts w:ascii="Times New Roman" w:eastAsia="宋体" w:hAnsi="Times New Roman" w:cs="Times New Roman"/>
          <w:color w:val="000000" w:themeColor="text1"/>
          <w:sz w:val="24"/>
          <w:szCs w:val="24"/>
        </w:rPr>
        <w:t>795-801</w:t>
      </w:r>
      <w:r w:rsidR="000277B0">
        <w:rPr>
          <w:rFonts w:ascii="Times New Roman" w:eastAsia="宋体" w:hAnsi="Times New Roman" w:cs="Times New Roman" w:hint="eastAsia"/>
          <w:color w:val="000000" w:themeColor="text1"/>
          <w:sz w:val="24"/>
          <w:szCs w:val="24"/>
        </w:rPr>
        <w:t>.</w:t>
      </w:r>
    </w:p>
    <w:p w:rsidR="007A5BD9" w:rsidRPr="00E3081F" w:rsidRDefault="006F57AF" w:rsidP="001112F4">
      <w:pPr>
        <w:spacing w:after="0" w:line="240" w:lineRule="auto"/>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 xml:space="preserve">[35] </w:t>
      </w:r>
      <w:hyperlink r:id="rId11" w:history="1">
        <w:r w:rsidRPr="00E3081F">
          <w:rPr>
            <w:rFonts w:ascii="Times New Roman" w:eastAsia="宋体" w:hAnsi="Times New Roman" w:cs="Times New Roman"/>
            <w:sz w:val="24"/>
            <w:szCs w:val="24"/>
          </w:rPr>
          <w:t>Jensen B</w:t>
        </w:r>
        <w:r w:rsidR="000277B0">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E</w:t>
        </w:r>
      </w:hyperlink>
      <w:r w:rsidRPr="00E3081F">
        <w:rPr>
          <w:rFonts w:ascii="Times New Roman" w:eastAsia="宋体" w:hAnsi="Times New Roman" w:cs="Times New Roman"/>
          <w:sz w:val="24"/>
          <w:szCs w:val="24"/>
        </w:rPr>
        <w:t>, </w:t>
      </w:r>
      <w:hyperlink r:id="rId12" w:history="1">
        <w:r w:rsidRPr="00E3081F">
          <w:rPr>
            <w:rFonts w:ascii="Times New Roman" w:eastAsia="宋体" w:hAnsi="Times New Roman" w:cs="Times New Roman"/>
            <w:sz w:val="24"/>
            <w:szCs w:val="24"/>
          </w:rPr>
          <w:t>Hansen J</w:t>
        </w:r>
        <w:r w:rsidR="000277B0">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M</w:t>
        </w:r>
      </w:hyperlink>
      <w:r w:rsidRPr="00E3081F">
        <w:rPr>
          <w:rFonts w:ascii="Times New Roman" w:eastAsia="宋体" w:hAnsi="Times New Roman" w:cs="Times New Roman"/>
          <w:sz w:val="24"/>
          <w:szCs w:val="24"/>
        </w:rPr>
        <w:t>, </w:t>
      </w:r>
      <w:hyperlink r:id="rId13" w:history="1">
        <w:r w:rsidRPr="00E3081F">
          <w:rPr>
            <w:rFonts w:ascii="Times New Roman" w:eastAsia="宋体" w:hAnsi="Times New Roman" w:cs="Times New Roman"/>
            <w:sz w:val="24"/>
            <w:szCs w:val="24"/>
          </w:rPr>
          <w:t>Junker A</w:t>
        </w:r>
        <w:r w:rsidR="000277B0">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B</w:t>
        </w:r>
      </w:hyperlink>
      <w:r w:rsidR="000277B0">
        <w:rPr>
          <w:rFonts w:ascii="Times New Roman" w:eastAsia="宋体" w:hAnsi="Times New Roman" w:cs="Times New Roman" w:hint="eastAsia"/>
          <w:sz w:val="24"/>
          <w:szCs w:val="24"/>
        </w:rPr>
        <w:t xml:space="preserve">, </w:t>
      </w:r>
      <w:r w:rsidRPr="000277B0">
        <w:rPr>
          <w:rFonts w:ascii="Times New Roman" w:eastAsia="宋体" w:hAnsi="Times New Roman" w:cs="Times New Roman"/>
          <w:i/>
          <w:sz w:val="24"/>
          <w:szCs w:val="24"/>
        </w:rPr>
        <w:t>et al</w:t>
      </w:r>
      <w:r w:rsidR="000277B0">
        <w:rPr>
          <w:rFonts w:ascii="Times New Roman" w:eastAsia="宋体" w:hAnsi="Times New Roman" w:cs="Times New Roman" w:hint="eastAsia"/>
          <w:sz w:val="24"/>
          <w:szCs w:val="24"/>
        </w:rPr>
        <w:t xml:space="preserve">. </w:t>
      </w:r>
      <w:hyperlink r:id="rId14" w:history="1">
        <w:r w:rsidRPr="00E3081F">
          <w:rPr>
            <w:rFonts w:ascii="Times New Roman" w:eastAsia="宋体" w:hAnsi="Times New Roman" w:cs="Times New Roman"/>
            <w:sz w:val="24"/>
            <w:szCs w:val="24"/>
          </w:rPr>
          <w:t>High prevalence of ulcer bleeding risk factors in dual antiplatelet-treated patients after percutaneous coronary intervention[J].</w:t>
        </w:r>
      </w:hyperlink>
      <w:hyperlink r:id="rId15" w:tooltip="Danish medical journal." w:history="1">
        <w:r w:rsidRPr="00E3081F">
          <w:rPr>
            <w:rFonts w:ascii="Times New Roman" w:eastAsia="宋体" w:hAnsi="Times New Roman" w:cs="Times New Roman"/>
            <w:sz w:val="24"/>
            <w:szCs w:val="24"/>
          </w:rPr>
          <w:t>Dan Med J</w:t>
        </w:r>
        <w:r w:rsidR="000277B0">
          <w:rPr>
            <w:rFonts w:ascii="Times New Roman" w:eastAsia="宋体" w:hAnsi="Times New Roman" w:cs="Times New Roman" w:hint="eastAsia"/>
            <w:sz w:val="24"/>
            <w:szCs w:val="24"/>
          </w:rPr>
          <w:t>,</w:t>
        </w:r>
      </w:hyperlink>
      <w:r w:rsidRPr="00E3081F">
        <w:rPr>
          <w:rFonts w:ascii="Times New Roman" w:eastAsia="宋体" w:hAnsi="Times New Roman" w:cs="Times New Roman"/>
          <w:sz w:val="24"/>
          <w:szCs w:val="24"/>
        </w:rPr>
        <w:t> 2015</w:t>
      </w:r>
      <w:proofErr w:type="gramStart"/>
      <w:r w:rsidR="000277B0">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62</w:t>
      </w:r>
      <w:proofErr w:type="gramEnd"/>
      <w:r w:rsidRPr="00E3081F">
        <w:rPr>
          <w:rFonts w:ascii="Times New Roman" w:eastAsia="宋体" w:hAnsi="Times New Roman" w:cs="Times New Roman"/>
          <w:sz w:val="24"/>
          <w:szCs w:val="24"/>
        </w:rPr>
        <w:t xml:space="preserve">(6): A5092. </w:t>
      </w:r>
    </w:p>
    <w:p w:rsidR="007A5BD9" w:rsidRPr="00E3081F" w:rsidRDefault="006F57AF" w:rsidP="001112F4">
      <w:pPr>
        <w:spacing w:after="0" w:line="240" w:lineRule="auto"/>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[36]</w:t>
      </w:r>
      <w:r w:rsidR="00CC49C9">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Devi D</w:t>
      </w:r>
      <w:r w:rsidR="00CC49C9">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P</w:t>
      </w:r>
      <w:r w:rsidR="00CC49C9">
        <w:rPr>
          <w:rFonts w:ascii="Times New Roman" w:eastAsia="宋体" w:hAnsi="Times New Roman" w:cs="Times New Roman" w:hint="eastAsia"/>
          <w:sz w:val="24"/>
          <w:szCs w:val="24"/>
        </w:rPr>
        <w:t xml:space="preserve">, </w:t>
      </w:r>
      <w:proofErr w:type="spellStart"/>
      <w:r w:rsidRPr="00E3081F">
        <w:rPr>
          <w:rFonts w:ascii="Times New Roman" w:eastAsia="宋体" w:hAnsi="Times New Roman" w:cs="Times New Roman"/>
          <w:sz w:val="24"/>
          <w:szCs w:val="24"/>
        </w:rPr>
        <w:t>Sushma</w:t>
      </w:r>
      <w:proofErr w:type="spellEnd"/>
      <w:r w:rsidRPr="00E3081F">
        <w:rPr>
          <w:rFonts w:ascii="Times New Roman" w:eastAsia="宋体" w:hAnsi="Times New Roman" w:cs="Times New Roman"/>
          <w:sz w:val="24"/>
          <w:szCs w:val="24"/>
        </w:rPr>
        <w:t xml:space="preserve"> M</w:t>
      </w:r>
      <w:r w:rsidR="00CC49C9">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 xml:space="preserve">Guido S, </w:t>
      </w:r>
      <w:r w:rsidRPr="00CC49C9">
        <w:rPr>
          <w:rFonts w:ascii="Times New Roman" w:eastAsia="宋体" w:hAnsi="Times New Roman" w:cs="Times New Roman"/>
          <w:i/>
          <w:sz w:val="24"/>
          <w:szCs w:val="24"/>
        </w:rPr>
        <w:t>et al</w:t>
      </w:r>
      <w:r w:rsidR="00CC49C9">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Drug-induced upper gastrointestinal disorders requiring hospitalization</w:t>
      </w:r>
      <w:r w:rsidR="00CC49C9">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 xml:space="preserve">a </w:t>
      </w:r>
      <w:proofErr w:type="spellStart"/>
      <w:r w:rsidRPr="00E3081F">
        <w:rPr>
          <w:rFonts w:ascii="Times New Roman" w:eastAsia="宋体" w:hAnsi="Times New Roman" w:cs="Times New Roman"/>
          <w:sz w:val="24"/>
          <w:szCs w:val="24"/>
        </w:rPr>
        <w:t>fiveyear</w:t>
      </w:r>
      <w:proofErr w:type="spellEnd"/>
      <w:r w:rsidRPr="00E3081F">
        <w:rPr>
          <w:rFonts w:ascii="Times New Roman" w:eastAsia="宋体" w:hAnsi="Times New Roman" w:cs="Times New Roman"/>
          <w:sz w:val="24"/>
          <w:szCs w:val="24"/>
        </w:rPr>
        <w:t xml:space="preserve"> study in a South Indian </w:t>
      </w:r>
      <w:proofErr w:type="gramStart"/>
      <w:r w:rsidRPr="00E3081F">
        <w:rPr>
          <w:rFonts w:ascii="Times New Roman" w:eastAsia="宋体" w:hAnsi="Times New Roman" w:cs="Times New Roman"/>
          <w:sz w:val="24"/>
          <w:szCs w:val="24"/>
        </w:rPr>
        <w:t>hospital[</w:t>
      </w:r>
      <w:proofErr w:type="gramEnd"/>
      <w:r w:rsidRPr="00E3081F">
        <w:rPr>
          <w:rFonts w:ascii="Times New Roman" w:eastAsia="宋体" w:hAnsi="Times New Roman" w:cs="Times New Roman"/>
          <w:sz w:val="24"/>
          <w:szCs w:val="24"/>
        </w:rPr>
        <w:t>J]</w:t>
      </w:r>
      <w:r w:rsidR="00CC49C9">
        <w:rPr>
          <w:rFonts w:ascii="Times New Roman" w:eastAsia="宋体" w:hAnsi="Times New Roman" w:cs="Times New Roman" w:hint="eastAsia"/>
          <w:sz w:val="24"/>
          <w:szCs w:val="24"/>
        </w:rPr>
        <w:t xml:space="preserve">. </w:t>
      </w:r>
      <w:proofErr w:type="spellStart"/>
      <w:r w:rsidRPr="00E3081F">
        <w:rPr>
          <w:rFonts w:ascii="Times New Roman" w:eastAsia="宋体" w:hAnsi="Times New Roman" w:cs="Times New Roman"/>
          <w:sz w:val="24"/>
          <w:szCs w:val="24"/>
        </w:rPr>
        <w:t>Pharmacoepidemiol</w:t>
      </w:r>
      <w:proofErr w:type="spellEnd"/>
      <w:r w:rsidRPr="00E3081F">
        <w:rPr>
          <w:rFonts w:ascii="Times New Roman" w:eastAsia="宋体" w:hAnsi="Times New Roman" w:cs="Times New Roman"/>
          <w:sz w:val="24"/>
          <w:szCs w:val="24"/>
        </w:rPr>
        <w:t xml:space="preserve"> Drug </w:t>
      </w:r>
      <w:proofErr w:type="spellStart"/>
      <w:r w:rsidRPr="00E3081F">
        <w:rPr>
          <w:rFonts w:ascii="Times New Roman" w:eastAsia="宋体" w:hAnsi="Times New Roman" w:cs="Times New Roman"/>
          <w:sz w:val="24"/>
          <w:szCs w:val="24"/>
        </w:rPr>
        <w:t>Saf</w:t>
      </w:r>
      <w:proofErr w:type="spellEnd"/>
      <w:proofErr w:type="gramStart"/>
      <w:r w:rsidR="00CC49C9">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 xml:space="preserve"> 2004</w:t>
      </w:r>
      <w:r w:rsidR="00CC49C9">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13</w:t>
      </w:r>
      <w:proofErr w:type="gramEnd"/>
      <w:r w:rsidR="00CC49C9">
        <w:rPr>
          <w:rFonts w:ascii="Times New Roman" w:eastAsia="宋体" w:hAnsi="Times New Roman" w:cs="Times New Roman" w:hint="eastAsia"/>
          <w:sz w:val="24"/>
          <w:szCs w:val="24"/>
        </w:rPr>
        <w:t>(12):</w:t>
      </w:r>
      <w:r w:rsidRPr="00E3081F">
        <w:rPr>
          <w:rFonts w:ascii="Times New Roman" w:eastAsia="宋体" w:hAnsi="Times New Roman" w:cs="Times New Roman"/>
          <w:sz w:val="24"/>
          <w:szCs w:val="24"/>
        </w:rPr>
        <w:t>859-862</w:t>
      </w:r>
      <w:r w:rsidR="00CC49C9">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 xml:space="preserve"> </w:t>
      </w:r>
    </w:p>
    <w:p w:rsidR="007A5BD9" w:rsidRPr="00E3081F" w:rsidRDefault="006F57AF" w:rsidP="001112F4">
      <w:pPr>
        <w:spacing w:after="0" w:line="240" w:lineRule="auto"/>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[37]</w:t>
      </w:r>
      <w:r w:rsidR="00CC49C9">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抗</w:t>
      </w:r>
      <w:proofErr w:type="gramStart"/>
      <w:r w:rsidRPr="00E3081F">
        <w:rPr>
          <w:rFonts w:ascii="Times New Roman" w:eastAsia="宋体" w:hAnsi="Times New Roman" w:cs="Times New Roman"/>
          <w:sz w:val="24"/>
          <w:szCs w:val="24"/>
        </w:rPr>
        <w:t>栓</w:t>
      </w:r>
      <w:proofErr w:type="gramEnd"/>
      <w:r w:rsidRPr="00E3081F">
        <w:rPr>
          <w:rFonts w:ascii="Times New Roman" w:eastAsia="宋体" w:hAnsi="Times New Roman" w:cs="Times New Roman"/>
          <w:sz w:val="24"/>
          <w:szCs w:val="24"/>
        </w:rPr>
        <w:t>治疗消化道损伤防治专家组</w:t>
      </w:r>
      <w:r w:rsidRPr="00E3081F">
        <w:rPr>
          <w:rFonts w:ascii="Times New Roman" w:eastAsia="宋体" w:hAnsi="Times New Roman" w:cs="Times New Roman"/>
          <w:sz w:val="24"/>
          <w:szCs w:val="24"/>
        </w:rPr>
        <w:t xml:space="preserve">. </w:t>
      </w:r>
      <w:r w:rsidRPr="00E3081F">
        <w:rPr>
          <w:rFonts w:ascii="Times New Roman" w:eastAsia="宋体" w:hAnsi="Times New Roman" w:cs="Times New Roman"/>
          <w:sz w:val="24"/>
          <w:szCs w:val="24"/>
        </w:rPr>
        <w:t>抗</w:t>
      </w:r>
      <w:proofErr w:type="gramStart"/>
      <w:r w:rsidRPr="00E3081F">
        <w:rPr>
          <w:rFonts w:ascii="Times New Roman" w:eastAsia="宋体" w:hAnsi="Times New Roman" w:cs="Times New Roman"/>
          <w:sz w:val="24"/>
          <w:szCs w:val="24"/>
        </w:rPr>
        <w:t>栓</w:t>
      </w:r>
      <w:proofErr w:type="gramEnd"/>
      <w:r w:rsidRPr="00E3081F">
        <w:rPr>
          <w:rFonts w:ascii="Times New Roman" w:eastAsia="宋体" w:hAnsi="Times New Roman" w:cs="Times New Roman"/>
          <w:sz w:val="24"/>
          <w:szCs w:val="24"/>
        </w:rPr>
        <w:t>治疗消化道损伤防治中国专家建议</w:t>
      </w:r>
      <w:r w:rsidRPr="00E3081F">
        <w:rPr>
          <w:rFonts w:ascii="Times New Roman" w:eastAsia="宋体" w:hAnsi="Times New Roman" w:cs="Times New Roman"/>
          <w:sz w:val="24"/>
          <w:szCs w:val="24"/>
        </w:rPr>
        <w:t>[J].</w:t>
      </w:r>
      <w:r w:rsidRPr="00E3081F">
        <w:rPr>
          <w:rFonts w:ascii="Times New Roman" w:eastAsia="宋体" w:hAnsi="Times New Roman" w:cs="Times New Roman"/>
          <w:sz w:val="24"/>
          <w:szCs w:val="24"/>
        </w:rPr>
        <w:t>中华内科杂志</w:t>
      </w:r>
      <w:r w:rsidR="001112F4">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2016</w:t>
      </w:r>
      <w:r w:rsidR="001112F4">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55(7):</w:t>
      </w:r>
      <w:proofErr w:type="gramStart"/>
      <w:r w:rsidRPr="00E3081F">
        <w:rPr>
          <w:rFonts w:ascii="Times New Roman" w:eastAsia="宋体" w:hAnsi="Times New Roman" w:cs="Times New Roman"/>
          <w:sz w:val="24"/>
          <w:szCs w:val="24"/>
        </w:rPr>
        <w:t>564-567</w:t>
      </w:r>
      <w:r w:rsidR="001112F4">
        <w:rPr>
          <w:rFonts w:ascii="Times New Roman" w:eastAsia="宋体" w:hAnsi="Times New Roman" w:cs="Times New Roman" w:hint="eastAsia"/>
          <w:sz w:val="24"/>
          <w:szCs w:val="24"/>
        </w:rPr>
        <w:t>.</w:t>
      </w:r>
      <w:proofErr w:type="gramEnd"/>
    </w:p>
    <w:p w:rsidR="007A5BD9" w:rsidRPr="00E3081F" w:rsidRDefault="006F57AF" w:rsidP="001112F4">
      <w:pPr>
        <w:spacing w:after="0" w:line="240" w:lineRule="auto"/>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[38]</w:t>
      </w:r>
      <w:r w:rsidRPr="00E3081F">
        <w:rPr>
          <w:rFonts w:ascii="Times New Roman" w:eastAsia="宋体" w:hAnsi="Times New Roman" w:cs="Times New Roman"/>
          <w:sz w:val="24"/>
          <w:szCs w:val="24"/>
        </w:rPr>
        <w:t>中国医师协会心血管内科医师分会</w:t>
      </w:r>
      <w:r w:rsidRPr="00E3081F">
        <w:rPr>
          <w:rFonts w:ascii="Times New Roman" w:eastAsia="宋体" w:hAnsi="Times New Roman" w:cs="Times New Roman"/>
          <w:sz w:val="24"/>
          <w:szCs w:val="24"/>
        </w:rPr>
        <w:t xml:space="preserve">. </w:t>
      </w:r>
      <w:r w:rsidRPr="00E3081F">
        <w:rPr>
          <w:rFonts w:ascii="Times New Roman" w:eastAsia="宋体" w:hAnsi="Times New Roman" w:cs="Times New Roman"/>
          <w:sz w:val="24"/>
          <w:szCs w:val="24"/>
        </w:rPr>
        <w:t>急性冠状动脉综合征抗</w:t>
      </w:r>
      <w:proofErr w:type="gramStart"/>
      <w:r w:rsidRPr="00E3081F">
        <w:rPr>
          <w:rFonts w:ascii="Times New Roman" w:eastAsia="宋体" w:hAnsi="Times New Roman" w:cs="Times New Roman"/>
          <w:sz w:val="24"/>
          <w:szCs w:val="24"/>
        </w:rPr>
        <w:t>栓</w:t>
      </w:r>
      <w:proofErr w:type="gramEnd"/>
      <w:r w:rsidRPr="00E3081F">
        <w:rPr>
          <w:rFonts w:ascii="Times New Roman" w:eastAsia="宋体" w:hAnsi="Times New Roman" w:cs="Times New Roman"/>
          <w:sz w:val="24"/>
          <w:szCs w:val="24"/>
        </w:rPr>
        <w:t>治疗合并出血防治多学科专家共识</w:t>
      </w:r>
      <w:r w:rsidRPr="00E3081F">
        <w:rPr>
          <w:rFonts w:ascii="Times New Roman" w:eastAsia="宋体" w:hAnsi="Times New Roman" w:cs="Times New Roman"/>
          <w:sz w:val="24"/>
          <w:szCs w:val="24"/>
        </w:rPr>
        <w:t>[J].</w:t>
      </w:r>
      <w:r w:rsidRPr="00E3081F">
        <w:rPr>
          <w:rFonts w:ascii="Times New Roman" w:eastAsia="宋体" w:hAnsi="Times New Roman" w:cs="Times New Roman"/>
          <w:sz w:val="24"/>
          <w:szCs w:val="24"/>
        </w:rPr>
        <w:t>中华内科杂志</w:t>
      </w:r>
      <w:r w:rsidR="001112F4">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2016</w:t>
      </w:r>
      <w:r w:rsidR="001112F4">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55(10):</w:t>
      </w:r>
      <w:proofErr w:type="gramStart"/>
      <w:r w:rsidRPr="00E3081F">
        <w:rPr>
          <w:rFonts w:ascii="Times New Roman" w:eastAsia="宋体" w:hAnsi="Times New Roman" w:cs="Times New Roman"/>
          <w:sz w:val="24"/>
          <w:szCs w:val="24"/>
        </w:rPr>
        <w:t>813-824.</w:t>
      </w:r>
      <w:proofErr w:type="gramEnd"/>
    </w:p>
    <w:p w:rsidR="007A5BD9" w:rsidRPr="00E3081F" w:rsidRDefault="006F57AF" w:rsidP="001112F4">
      <w:pPr>
        <w:spacing w:after="0" w:line="240" w:lineRule="auto"/>
        <w:jc w:val="both"/>
        <w:rPr>
          <w:rFonts w:ascii="Times New Roman" w:eastAsia="宋体" w:hAnsi="Times New Roman" w:cs="Times New Roman"/>
          <w:color w:val="000000" w:themeColor="text1"/>
          <w:sz w:val="24"/>
          <w:szCs w:val="24"/>
        </w:rPr>
      </w:pPr>
      <w:r w:rsidRPr="00E3081F">
        <w:rPr>
          <w:rFonts w:ascii="Times New Roman" w:eastAsia="宋体" w:hAnsi="Times New Roman" w:cs="Times New Roman"/>
          <w:color w:val="000000" w:themeColor="text1"/>
          <w:sz w:val="24"/>
          <w:szCs w:val="24"/>
        </w:rPr>
        <w:t>[39]</w:t>
      </w:r>
      <w:r w:rsidR="001112F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Bhatt D</w:t>
      </w:r>
      <w:r w:rsidR="001112F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L</w:t>
      </w:r>
      <w:r w:rsidR="001112F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Cryer B</w:t>
      </w:r>
      <w:r w:rsidR="001112F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L</w:t>
      </w:r>
      <w:r w:rsidR="001112F4">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Contant</w:t>
      </w:r>
      <w:proofErr w:type="spellEnd"/>
      <w:r w:rsidRPr="00E3081F">
        <w:rPr>
          <w:rFonts w:ascii="Times New Roman" w:eastAsia="宋体" w:hAnsi="Times New Roman" w:cs="Times New Roman"/>
          <w:color w:val="000000" w:themeColor="text1"/>
          <w:sz w:val="24"/>
          <w:szCs w:val="24"/>
        </w:rPr>
        <w:t xml:space="preserve"> C</w:t>
      </w:r>
      <w:r w:rsidR="001112F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F</w:t>
      </w:r>
      <w:r w:rsidR="001112F4">
        <w:rPr>
          <w:rFonts w:ascii="Times New Roman" w:eastAsia="宋体" w:hAnsi="Times New Roman" w:cs="Times New Roman" w:hint="eastAsia"/>
          <w:color w:val="000000" w:themeColor="text1"/>
          <w:sz w:val="24"/>
          <w:szCs w:val="24"/>
        </w:rPr>
        <w:t xml:space="preserve">, </w:t>
      </w:r>
      <w:r w:rsidRPr="001112F4">
        <w:rPr>
          <w:rFonts w:ascii="Times New Roman" w:eastAsia="宋体" w:hAnsi="Times New Roman" w:cs="Times New Roman"/>
          <w:i/>
          <w:color w:val="000000" w:themeColor="text1"/>
          <w:sz w:val="24"/>
          <w:szCs w:val="24"/>
        </w:rPr>
        <w:t>et al</w:t>
      </w:r>
      <w:r w:rsidR="001112F4">
        <w:rPr>
          <w:rFonts w:ascii="Times New Roman" w:eastAsia="宋体" w:hAnsi="Times New Roman" w:cs="Times New Roman" w:hint="eastAsia"/>
          <w:color w:val="000000" w:themeColor="text1"/>
          <w:sz w:val="24"/>
          <w:szCs w:val="24"/>
        </w:rPr>
        <w:t xml:space="preserve">. </w:t>
      </w:r>
      <w:proofErr w:type="spellStart"/>
      <w:r w:rsidRPr="00E3081F">
        <w:rPr>
          <w:rFonts w:ascii="Times New Roman" w:eastAsia="宋体" w:hAnsi="Times New Roman" w:cs="Times New Roman"/>
          <w:color w:val="000000" w:themeColor="text1"/>
          <w:sz w:val="24"/>
          <w:szCs w:val="24"/>
        </w:rPr>
        <w:t>Clo</w:t>
      </w:r>
      <w:r w:rsidR="001112F4">
        <w:rPr>
          <w:rFonts w:ascii="Times New Roman" w:eastAsia="宋体" w:hAnsi="Times New Roman" w:cs="Times New Roman"/>
          <w:color w:val="000000" w:themeColor="text1"/>
          <w:sz w:val="24"/>
          <w:szCs w:val="24"/>
        </w:rPr>
        <w:t>pidogrel</w:t>
      </w:r>
      <w:proofErr w:type="spellEnd"/>
      <w:r w:rsidR="001112F4">
        <w:rPr>
          <w:rFonts w:ascii="Times New Roman" w:eastAsia="宋体" w:hAnsi="Times New Roman" w:cs="Times New Roman"/>
          <w:color w:val="000000" w:themeColor="text1"/>
          <w:sz w:val="24"/>
          <w:szCs w:val="24"/>
        </w:rPr>
        <w:t xml:space="preserve"> with or without omepra</w:t>
      </w:r>
      <w:r w:rsidR="001112F4">
        <w:rPr>
          <w:rFonts w:ascii="Times New Roman" w:eastAsia="宋体" w:hAnsi="Times New Roman" w:cs="Times New Roman" w:hint="eastAsia"/>
          <w:color w:val="000000" w:themeColor="text1"/>
          <w:sz w:val="24"/>
          <w:szCs w:val="24"/>
        </w:rPr>
        <w:t>z</w:t>
      </w:r>
      <w:r w:rsidRPr="00E3081F">
        <w:rPr>
          <w:rFonts w:ascii="Times New Roman" w:eastAsia="宋体" w:hAnsi="Times New Roman" w:cs="Times New Roman"/>
          <w:color w:val="000000" w:themeColor="text1"/>
          <w:sz w:val="24"/>
          <w:szCs w:val="24"/>
        </w:rPr>
        <w:t>ole in coronary artery disease</w:t>
      </w:r>
      <w:r w:rsidR="001112F4">
        <w:rPr>
          <w:rFonts w:ascii="Times New Roman" w:eastAsia="仿宋_GB2312" w:hAnsi="Times New Roman" w:cs="Times New Roman"/>
          <w:color w:val="000000" w:themeColor="text1"/>
          <w:sz w:val="24"/>
          <w:szCs w:val="24"/>
        </w:rPr>
        <w:t>[J]</w:t>
      </w:r>
      <w:r w:rsidR="001112F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 xml:space="preserve">N </w:t>
      </w:r>
      <w:proofErr w:type="spellStart"/>
      <w:r w:rsidRPr="00E3081F">
        <w:rPr>
          <w:rFonts w:ascii="Times New Roman" w:eastAsia="宋体" w:hAnsi="Times New Roman" w:cs="Times New Roman"/>
          <w:color w:val="000000" w:themeColor="text1"/>
          <w:sz w:val="24"/>
          <w:szCs w:val="24"/>
        </w:rPr>
        <w:t>Engl</w:t>
      </w:r>
      <w:proofErr w:type="spellEnd"/>
      <w:r w:rsidRPr="00E3081F">
        <w:rPr>
          <w:rFonts w:ascii="Times New Roman" w:eastAsia="宋体" w:hAnsi="Times New Roman" w:cs="Times New Roman"/>
          <w:color w:val="000000" w:themeColor="text1"/>
          <w:sz w:val="24"/>
          <w:szCs w:val="24"/>
        </w:rPr>
        <w:t xml:space="preserve"> J Med</w:t>
      </w:r>
      <w:r w:rsidR="001112F4">
        <w:rPr>
          <w:rFonts w:ascii="Times New Roman" w:eastAsia="宋体" w:hAnsi="Times New Roman" w:cs="Times New Roman" w:hint="eastAsia"/>
          <w:color w:val="000000" w:themeColor="text1"/>
          <w:sz w:val="24"/>
          <w:szCs w:val="24"/>
        </w:rPr>
        <w:t xml:space="preserve">, </w:t>
      </w:r>
      <w:r w:rsidRPr="00E3081F">
        <w:rPr>
          <w:rFonts w:ascii="Times New Roman" w:eastAsia="宋体" w:hAnsi="Times New Roman" w:cs="Times New Roman"/>
          <w:color w:val="000000" w:themeColor="text1"/>
          <w:sz w:val="24"/>
          <w:szCs w:val="24"/>
        </w:rPr>
        <w:t>2010</w:t>
      </w:r>
      <w:proofErr w:type="gramStart"/>
      <w:r w:rsidR="001112F4">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363</w:t>
      </w:r>
      <w:r w:rsidR="001112F4">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1909</w:t>
      </w:r>
      <w:proofErr w:type="gramEnd"/>
      <w:r w:rsidR="001112F4">
        <w:rPr>
          <w:rFonts w:ascii="Times New Roman" w:eastAsia="宋体" w:hAnsi="Times New Roman" w:cs="Times New Roman" w:hint="eastAsia"/>
          <w:color w:val="000000" w:themeColor="text1"/>
          <w:sz w:val="24"/>
          <w:szCs w:val="24"/>
        </w:rPr>
        <w:t>-</w:t>
      </w:r>
      <w:r w:rsidRPr="00E3081F">
        <w:rPr>
          <w:rFonts w:ascii="Times New Roman" w:eastAsia="宋体" w:hAnsi="Times New Roman" w:cs="Times New Roman"/>
          <w:color w:val="000000" w:themeColor="text1"/>
          <w:sz w:val="24"/>
          <w:szCs w:val="24"/>
        </w:rPr>
        <w:t>1917</w:t>
      </w:r>
      <w:r w:rsidR="001112F4">
        <w:rPr>
          <w:rFonts w:ascii="Times New Roman" w:eastAsia="宋体" w:hAnsi="Times New Roman" w:cs="Times New Roman" w:hint="eastAsia"/>
          <w:color w:val="000000" w:themeColor="text1"/>
          <w:sz w:val="24"/>
          <w:szCs w:val="24"/>
        </w:rPr>
        <w:t>.</w:t>
      </w:r>
    </w:p>
    <w:p w:rsidR="007A5BD9" w:rsidRPr="00E3081F" w:rsidRDefault="006F57AF" w:rsidP="001112F4">
      <w:pPr>
        <w:spacing w:after="0"/>
        <w:contextualSpacing/>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[40]</w:t>
      </w:r>
      <w:r w:rsidR="001112F4">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陈磊</w:t>
      </w:r>
      <w:r w:rsidR="001112F4">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朱海航</w:t>
      </w:r>
      <w:r w:rsidR="001112F4">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王璐</w:t>
      </w:r>
      <w:r w:rsidR="001112F4">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等</w:t>
      </w:r>
      <w:r w:rsidRPr="00E3081F">
        <w:rPr>
          <w:rFonts w:ascii="Times New Roman" w:eastAsia="宋体" w:hAnsi="Times New Roman" w:cs="Times New Roman"/>
          <w:sz w:val="24"/>
          <w:szCs w:val="24"/>
        </w:rPr>
        <w:t>.</w:t>
      </w:r>
      <w:r w:rsidRPr="00E3081F">
        <w:rPr>
          <w:rFonts w:ascii="Times New Roman" w:eastAsia="宋体" w:hAnsi="Times New Roman" w:cs="Times New Roman"/>
          <w:sz w:val="24"/>
          <w:szCs w:val="24"/>
        </w:rPr>
        <w:t>术前使用质子泵抑制剂对胃部内镜黏膜下剥离术相关性出血作用的初步研究</w:t>
      </w:r>
      <w:r w:rsidRPr="00E3081F">
        <w:rPr>
          <w:rFonts w:ascii="Times New Roman" w:eastAsia="宋体" w:hAnsi="Times New Roman" w:cs="Times New Roman"/>
          <w:sz w:val="24"/>
          <w:szCs w:val="24"/>
        </w:rPr>
        <w:t>[J].</w:t>
      </w:r>
      <w:r w:rsidRPr="00E3081F">
        <w:rPr>
          <w:rFonts w:ascii="Times New Roman" w:eastAsia="宋体" w:hAnsi="Times New Roman" w:cs="Times New Roman"/>
          <w:sz w:val="24"/>
          <w:szCs w:val="24"/>
        </w:rPr>
        <w:t>中华临床医师杂志</w:t>
      </w:r>
      <w:r w:rsidR="001112F4">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电子版</w:t>
      </w:r>
      <w:r w:rsidR="001112F4">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2014,8</w:t>
      </w:r>
      <w:r w:rsidR="001112F4">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10</w:t>
      </w:r>
      <w:r w:rsidR="001112F4">
        <w:rPr>
          <w:rFonts w:ascii="Times New Roman" w:eastAsia="宋体" w:hAnsi="Times New Roman" w:cs="Times New Roman" w:hint="eastAsia"/>
          <w:sz w:val="24"/>
          <w:szCs w:val="24"/>
        </w:rPr>
        <w:t>):</w:t>
      </w:r>
      <w:proofErr w:type="gramStart"/>
      <w:r w:rsidRPr="00E3081F">
        <w:rPr>
          <w:rFonts w:ascii="Times New Roman" w:eastAsia="宋体" w:hAnsi="Times New Roman" w:cs="Times New Roman"/>
          <w:sz w:val="24"/>
          <w:szCs w:val="24"/>
        </w:rPr>
        <w:t>1839-1842.</w:t>
      </w:r>
      <w:proofErr w:type="gramEnd"/>
    </w:p>
    <w:p w:rsidR="007A5BD9" w:rsidRPr="00E3081F" w:rsidRDefault="006F57AF" w:rsidP="001112F4">
      <w:pPr>
        <w:spacing w:after="0"/>
        <w:contextualSpacing/>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[41]</w:t>
      </w:r>
      <w:r w:rsidR="001112F4">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Jung D</w:t>
      </w:r>
      <w:r w:rsidR="001112F4">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H</w:t>
      </w:r>
      <w:r w:rsidR="001112F4">
        <w:rPr>
          <w:rFonts w:ascii="Times New Roman" w:eastAsia="宋体" w:hAnsi="Times New Roman" w:cs="Times New Roman" w:hint="eastAsia"/>
          <w:sz w:val="24"/>
          <w:szCs w:val="24"/>
        </w:rPr>
        <w:t xml:space="preserve">, </w:t>
      </w:r>
      <w:proofErr w:type="spellStart"/>
      <w:r w:rsidRPr="00E3081F">
        <w:rPr>
          <w:rFonts w:ascii="Times New Roman" w:eastAsia="宋体" w:hAnsi="Times New Roman" w:cs="Times New Roman"/>
          <w:sz w:val="24"/>
          <w:szCs w:val="24"/>
        </w:rPr>
        <w:t>Youn</w:t>
      </w:r>
      <w:proofErr w:type="spellEnd"/>
      <w:r w:rsidRPr="00E3081F">
        <w:rPr>
          <w:rFonts w:ascii="Times New Roman" w:eastAsia="宋体" w:hAnsi="Times New Roman" w:cs="Times New Roman"/>
          <w:sz w:val="24"/>
          <w:szCs w:val="24"/>
        </w:rPr>
        <w:t xml:space="preserve"> Y</w:t>
      </w:r>
      <w:r w:rsidR="001112F4">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H</w:t>
      </w:r>
      <w:r w:rsidR="001112F4">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Kim J</w:t>
      </w:r>
      <w:r w:rsidR="001112F4">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 xml:space="preserve">H, </w:t>
      </w:r>
      <w:r w:rsidRPr="001112F4">
        <w:rPr>
          <w:rFonts w:ascii="Times New Roman" w:eastAsia="宋体" w:hAnsi="Times New Roman" w:cs="Times New Roman"/>
          <w:i/>
          <w:sz w:val="24"/>
          <w:szCs w:val="24"/>
        </w:rPr>
        <w:t>et al</w:t>
      </w:r>
      <w:r w:rsidRPr="00E3081F">
        <w:rPr>
          <w:rFonts w:ascii="Times New Roman" w:eastAsia="宋体" w:hAnsi="Times New Roman" w:cs="Times New Roman"/>
          <w:sz w:val="24"/>
          <w:szCs w:val="24"/>
        </w:rPr>
        <w:t>. Factors influencing development of pain after gastric endoscopic submucosal dissection: a randomized controlled trial[J].</w:t>
      </w:r>
      <w:r w:rsidR="001112F4">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Endoscopy,</w:t>
      </w:r>
      <w:r w:rsidR="001112F4">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2015,</w:t>
      </w:r>
      <w:r w:rsidR="001112F4">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47(12):1119-1123.</w:t>
      </w:r>
    </w:p>
    <w:p w:rsidR="007A5BD9" w:rsidRPr="00E3081F" w:rsidRDefault="006F57AF" w:rsidP="001112F4">
      <w:pPr>
        <w:spacing w:after="0"/>
        <w:contextualSpacing/>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[42]</w:t>
      </w:r>
      <w:r w:rsidR="001112F4">
        <w:rPr>
          <w:rFonts w:ascii="Times New Roman" w:eastAsia="宋体" w:hAnsi="Times New Roman" w:cs="Times New Roman" w:hint="eastAsia"/>
          <w:sz w:val="24"/>
          <w:szCs w:val="24"/>
        </w:rPr>
        <w:t xml:space="preserve"> </w:t>
      </w:r>
      <w:proofErr w:type="spellStart"/>
      <w:r w:rsidRPr="00E3081F">
        <w:rPr>
          <w:rFonts w:ascii="Times New Roman" w:eastAsia="宋体" w:hAnsi="Times New Roman" w:cs="Times New Roman"/>
          <w:sz w:val="24"/>
          <w:szCs w:val="24"/>
        </w:rPr>
        <w:t>Uedo</w:t>
      </w:r>
      <w:proofErr w:type="spellEnd"/>
      <w:r w:rsidRPr="00E3081F">
        <w:rPr>
          <w:rFonts w:ascii="Times New Roman" w:eastAsia="宋体" w:hAnsi="Times New Roman" w:cs="Times New Roman"/>
          <w:sz w:val="24"/>
          <w:szCs w:val="24"/>
        </w:rPr>
        <w:t xml:space="preserve"> N</w:t>
      </w:r>
      <w:r w:rsidR="001112F4">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Takeuchi Y</w:t>
      </w:r>
      <w:r w:rsidR="001112F4">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 xml:space="preserve">Yamada T, </w:t>
      </w:r>
      <w:r w:rsidRPr="001112F4">
        <w:rPr>
          <w:rFonts w:ascii="Times New Roman" w:eastAsia="宋体" w:hAnsi="Times New Roman" w:cs="Times New Roman"/>
          <w:i/>
          <w:sz w:val="24"/>
          <w:szCs w:val="24"/>
        </w:rPr>
        <w:t>et</w:t>
      </w:r>
      <w:r w:rsidR="001112F4" w:rsidRPr="001112F4">
        <w:rPr>
          <w:rFonts w:ascii="Times New Roman" w:eastAsia="宋体" w:hAnsi="Times New Roman" w:cs="Times New Roman" w:hint="eastAsia"/>
          <w:i/>
          <w:sz w:val="24"/>
          <w:szCs w:val="24"/>
        </w:rPr>
        <w:t xml:space="preserve"> </w:t>
      </w:r>
      <w:r w:rsidRPr="001112F4">
        <w:rPr>
          <w:rFonts w:ascii="Times New Roman" w:eastAsia="宋体" w:hAnsi="Times New Roman" w:cs="Times New Roman"/>
          <w:i/>
          <w:sz w:val="24"/>
          <w:szCs w:val="24"/>
        </w:rPr>
        <w:t>al</w:t>
      </w:r>
      <w:r w:rsidRPr="00E3081F">
        <w:rPr>
          <w:rFonts w:ascii="Times New Roman" w:eastAsia="宋体" w:hAnsi="Times New Roman" w:cs="Times New Roman"/>
          <w:sz w:val="24"/>
          <w:szCs w:val="24"/>
        </w:rPr>
        <w:t xml:space="preserve">. Effect of a proton pump inhibitor or an H2-receptor antagonist on prevention of bleeding from ulcer after endoscopic submucosal dissection of early gastric cancer: a prospective randomized controlled trial[J]. Am J </w:t>
      </w:r>
      <w:proofErr w:type="spellStart"/>
      <w:r w:rsidRPr="00E3081F">
        <w:rPr>
          <w:rFonts w:ascii="Times New Roman" w:eastAsia="宋体" w:hAnsi="Times New Roman" w:cs="Times New Roman"/>
          <w:sz w:val="24"/>
          <w:szCs w:val="24"/>
        </w:rPr>
        <w:t>Gastroenterol</w:t>
      </w:r>
      <w:proofErr w:type="spellEnd"/>
      <w:r w:rsidR="001112F4">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 xml:space="preserve"> 2007</w:t>
      </w:r>
      <w:proofErr w:type="gramStart"/>
      <w:r w:rsidR="001112F4">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102</w:t>
      </w:r>
      <w:proofErr w:type="gramEnd"/>
      <w:r w:rsidRPr="00E3081F">
        <w:rPr>
          <w:rFonts w:ascii="Times New Roman" w:eastAsia="宋体" w:hAnsi="Times New Roman" w:cs="Times New Roman"/>
          <w:sz w:val="24"/>
          <w:szCs w:val="24"/>
        </w:rPr>
        <w:t>(8):1610-</w:t>
      </w:r>
      <w:r w:rsidR="001112F4">
        <w:rPr>
          <w:rFonts w:ascii="Times New Roman" w:eastAsia="宋体" w:hAnsi="Times New Roman" w:cs="Times New Roman" w:hint="eastAsia"/>
          <w:sz w:val="24"/>
          <w:szCs w:val="24"/>
        </w:rPr>
        <w:t>1616</w:t>
      </w:r>
      <w:r w:rsidRPr="00E3081F">
        <w:rPr>
          <w:rFonts w:ascii="Times New Roman" w:eastAsia="宋体" w:hAnsi="Times New Roman" w:cs="Times New Roman"/>
          <w:sz w:val="24"/>
          <w:szCs w:val="24"/>
        </w:rPr>
        <w:t>.</w:t>
      </w:r>
    </w:p>
    <w:p w:rsidR="007A5BD9" w:rsidRPr="00E3081F" w:rsidRDefault="006F57AF" w:rsidP="00A21783">
      <w:pPr>
        <w:spacing w:after="0"/>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 xml:space="preserve">[43] </w:t>
      </w:r>
      <w:r w:rsidRPr="00E3081F">
        <w:rPr>
          <w:rFonts w:ascii="Times New Roman" w:eastAsia="宋体" w:hAnsi="Times New Roman" w:cs="Times New Roman"/>
          <w:sz w:val="24"/>
          <w:szCs w:val="24"/>
        </w:rPr>
        <w:t>内镜黏膜下剥离术专家协作组</w:t>
      </w:r>
      <w:r w:rsidRPr="00E3081F">
        <w:rPr>
          <w:rFonts w:ascii="Times New Roman" w:eastAsia="宋体" w:hAnsi="Times New Roman" w:cs="Times New Roman"/>
          <w:sz w:val="24"/>
          <w:szCs w:val="24"/>
        </w:rPr>
        <w:t xml:space="preserve">. </w:t>
      </w:r>
      <w:r w:rsidRPr="00E3081F">
        <w:rPr>
          <w:rFonts w:ascii="Times New Roman" w:eastAsia="宋体" w:hAnsi="Times New Roman" w:cs="Times New Roman"/>
          <w:sz w:val="24"/>
          <w:szCs w:val="24"/>
        </w:rPr>
        <w:t>消化道黏膜病变内镜黏膜下剥离术治疗专家共识</w:t>
      </w:r>
      <w:r w:rsidRPr="00E3081F">
        <w:rPr>
          <w:rFonts w:ascii="Times New Roman" w:eastAsia="宋体" w:hAnsi="Times New Roman" w:cs="Times New Roman"/>
          <w:sz w:val="24"/>
          <w:szCs w:val="24"/>
        </w:rPr>
        <w:t>[J].</w:t>
      </w:r>
      <w:r w:rsidRPr="00E3081F">
        <w:rPr>
          <w:rFonts w:ascii="Times New Roman" w:eastAsia="宋体" w:hAnsi="Times New Roman" w:cs="Times New Roman"/>
          <w:sz w:val="24"/>
          <w:szCs w:val="24"/>
        </w:rPr>
        <w:t>中华胃肠外科杂志</w:t>
      </w:r>
      <w:r w:rsidR="008C69DF">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2012</w:t>
      </w:r>
      <w:r w:rsidR="008C69DF">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 xml:space="preserve">15(10): </w:t>
      </w:r>
      <w:proofErr w:type="gramStart"/>
      <w:r w:rsidRPr="00E3081F">
        <w:rPr>
          <w:rFonts w:ascii="Times New Roman" w:eastAsia="宋体" w:hAnsi="Times New Roman" w:cs="Times New Roman"/>
          <w:sz w:val="24"/>
          <w:szCs w:val="24"/>
        </w:rPr>
        <w:t>1083-1086.</w:t>
      </w:r>
      <w:proofErr w:type="gramEnd"/>
    </w:p>
    <w:p w:rsidR="007A5BD9" w:rsidRPr="00E3081F" w:rsidRDefault="006F57AF" w:rsidP="00A21783">
      <w:pPr>
        <w:spacing w:after="0"/>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lastRenderedPageBreak/>
        <w:t>[44]</w:t>
      </w:r>
      <w:r w:rsidR="008C69DF">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中华医学会消化内镜学分会</w:t>
      </w:r>
      <w:r w:rsidRPr="00E3081F">
        <w:rPr>
          <w:rFonts w:ascii="Times New Roman" w:eastAsia="宋体" w:hAnsi="Times New Roman" w:cs="Times New Roman"/>
          <w:sz w:val="24"/>
          <w:szCs w:val="24"/>
        </w:rPr>
        <w:t>.</w:t>
      </w:r>
      <w:r w:rsidRPr="00E3081F">
        <w:rPr>
          <w:rFonts w:ascii="Times New Roman" w:eastAsia="宋体" w:hAnsi="Times New Roman" w:cs="Times New Roman"/>
          <w:sz w:val="24"/>
          <w:szCs w:val="24"/>
        </w:rPr>
        <w:t>中国早期胃癌筛查及内镜诊治共识意见</w:t>
      </w:r>
      <w:r w:rsidR="00467759">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2014</w:t>
      </w:r>
      <w:r w:rsidRPr="00E3081F">
        <w:rPr>
          <w:rFonts w:ascii="Times New Roman" w:eastAsia="宋体" w:hAnsi="Times New Roman" w:cs="Times New Roman"/>
          <w:sz w:val="24"/>
          <w:szCs w:val="24"/>
        </w:rPr>
        <w:t>年</w:t>
      </w:r>
      <w:r w:rsidR="008C69DF">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长沙</w:t>
      </w:r>
      <w:r w:rsidR="00467759">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[J].</w:t>
      </w:r>
      <w:r w:rsidRPr="00E3081F">
        <w:rPr>
          <w:rFonts w:ascii="Times New Roman" w:eastAsia="宋体" w:hAnsi="Times New Roman" w:cs="Times New Roman"/>
          <w:sz w:val="24"/>
          <w:szCs w:val="24"/>
        </w:rPr>
        <w:t>中华消化内镜杂志</w:t>
      </w:r>
      <w:r w:rsidR="008C69DF">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2014</w:t>
      </w:r>
      <w:r w:rsidR="008C69DF">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 xml:space="preserve">31(7): </w:t>
      </w:r>
      <w:proofErr w:type="gramStart"/>
      <w:r w:rsidRPr="00E3081F">
        <w:rPr>
          <w:rFonts w:ascii="Times New Roman" w:eastAsia="宋体" w:hAnsi="Times New Roman" w:cs="Times New Roman"/>
          <w:sz w:val="24"/>
          <w:szCs w:val="24"/>
        </w:rPr>
        <w:t>361-377.</w:t>
      </w:r>
      <w:proofErr w:type="gramEnd"/>
    </w:p>
    <w:p w:rsidR="007A5BD9" w:rsidRPr="00E3081F" w:rsidRDefault="006F57AF" w:rsidP="00A21783">
      <w:pPr>
        <w:spacing w:after="0"/>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 xml:space="preserve">[45] </w:t>
      </w:r>
      <w:r w:rsidRPr="00E3081F">
        <w:rPr>
          <w:rFonts w:ascii="Times New Roman" w:eastAsia="宋体" w:hAnsi="Times New Roman" w:cs="Times New Roman"/>
          <w:sz w:val="24"/>
          <w:szCs w:val="24"/>
        </w:rPr>
        <w:t>中华医学会消化内镜学分会</w:t>
      </w:r>
      <w:r w:rsidRPr="00E3081F">
        <w:rPr>
          <w:rFonts w:ascii="Times New Roman" w:eastAsia="宋体" w:hAnsi="Times New Roman" w:cs="Times New Roman"/>
          <w:sz w:val="24"/>
          <w:szCs w:val="24"/>
        </w:rPr>
        <w:t xml:space="preserve">. </w:t>
      </w:r>
      <w:r w:rsidRPr="00E3081F">
        <w:rPr>
          <w:rFonts w:ascii="Times New Roman" w:eastAsia="宋体" w:hAnsi="Times New Roman" w:cs="Times New Roman"/>
          <w:sz w:val="24"/>
          <w:szCs w:val="24"/>
        </w:rPr>
        <w:t>胃黏膜病变内镜黏膜下剥离</w:t>
      </w:r>
      <w:proofErr w:type="gramStart"/>
      <w:r w:rsidRPr="00E3081F">
        <w:rPr>
          <w:rFonts w:ascii="Times New Roman" w:eastAsia="宋体" w:hAnsi="Times New Roman" w:cs="Times New Roman"/>
          <w:sz w:val="24"/>
          <w:szCs w:val="24"/>
        </w:rPr>
        <w:t>术围手术期</w:t>
      </w:r>
      <w:proofErr w:type="gramEnd"/>
      <w:r w:rsidRPr="00E3081F">
        <w:rPr>
          <w:rFonts w:ascii="Times New Roman" w:eastAsia="宋体" w:hAnsi="Times New Roman" w:cs="Times New Roman"/>
          <w:sz w:val="24"/>
          <w:szCs w:val="24"/>
        </w:rPr>
        <w:t>用药专家建议</w:t>
      </w:r>
      <w:r w:rsidRPr="00E3081F">
        <w:rPr>
          <w:rFonts w:ascii="Times New Roman" w:eastAsia="宋体" w:hAnsi="Times New Roman" w:cs="Times New Roman"/>
          <w:sz w:val="24"/>
          <w:szCs w:val="24"/>
        </w:rPr>
        <w:t>[J].</w:t>
      </w:r>
      <w:r w:rsidRPr="00E3081F">
        <w:rPr>
          <w:rFonts w:ascii="Times New Roman" w:eastAsia="宋体" w:hAnsi="Times New Roman" w:cs="Times New Roman"/>
          <w:sz w:val="24"/>
          <w:szCs w:val="24"/>
        </w:rPr>
        <w:t>中华内科杂志</w:t>
      </w:r>
      <w:r w:rsidRPr="00E3081F">
        <w:rPr>
          <w:rFonts w:ascii="Times New Roman" w:eastAsia="宋体" w:hAnsi="Times New Roman" w:cs="Times New Roman"/>
          <w:sz w:val="24"/>
          <w:szCs w:val="24"/>
        </w:rPr>
        <w:t>,2015</w:t>
      </w:r>
      <w:r w:rsidR="00467759">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 xml:space="preserve">54(10): </w:t>
      </w:r>
      <w:proofErr w:type="gramStart"/>
      <w:r w:rsidRPr="00E3081F">
        <w:rPr>
          <w:rFonts w:ascii="Times New Roman" w:eastAsia="宋体" w:hAnsi="Times New Roman" w:cs="Times New Roman"/>
          <w:sz w:val="24"/>
          <w:szCs w:val="24"/>
        </w:rPr>
        <w:t>905-908.</w:t>
      </w:r>
      <w:proofErr w:type="gramEnd"/>
    </w:p>
    <w:p w:rsidR="007A5BD9" w:rsidRPr="00E3081F" w:rsidRDefault="006F57AF" w:rsidP="00A21783">
      <w:pPr>
        <w:spacing w:after="0"/>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[46]</w:t>
      </w:r>
      <w:r w:rsidR="009C4253">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国家消化系统疾病临床医学研究中心</w:t>
      </w:r>
      <w:r w:rsidRPr="00E3081F">
        <w:rPr>
          <w:rFonts w:ascii="Times New Roman" w:eastAsia="宋体" w:hAnsi="Times New Roman" w:cs="Times New Roman"/>
          <w:sz w:val="24"/>
          <w:szCs w:val="24"/>
        </w:rPr>
        <w:t>,</w:t>
      </w:r>
      <w:r w:rsidR="009C4253" w:rsidRPr="009C4253">
        <w:rPr>
          <w:rFonts w:hint="eastAsia"/>
        </w:rPr>
        <w:t xml:space="preserve"> </w:t>
      </w:r>
      <w:r w:rsidR="009C4253" w:rsidRPr="009C4253">
        <w:rPr>
          <w:rFonts w:ascii="Times New Roman" w:eastAsia="宋体" w:hAnsi="Times New Roman" w:cs="Times New Roman" w:hint="eastAsia"/>
          <w:sz w:val="24"/>
          <w:szCs w:val="24"/>
        </w:rPr>
        <w:t>中华医学会消化内镜学分会</w:t>
      </w:r>
      <w:r w:rsidR="009C4253" w:rsidRPr="009C4253">
        <w:rPr>
          <w:rFonts w:ascii="Times New Roman" w:eastAsia="宋体" w:hAnsi="Times New Roman" w:cs="Times New Roman" w:hint="eastAsia"/>
          <w:sz w:val="24"/>
          <w:szCs w:val="24"/>
        </w:rPr>
        <w:t xml:space="preserve">, </w:t>
      </w:r>
      <w:r w:rsidR="009C4253" w:rsidRPr="009C4253">
        <w:rPr>
          <w:rFonts w:ascii="Times New Roman" w:eastAsia="宋体" w:hAnsi="Times New Roman" w:cs="Times New Roman" w:hint="eastAsia"/>
          <w:sz w:val="24"/>
          <w:szCs w:val="24"/>
        </w:rPr>
        <w:t>中国医师协会消化医师分会</w:t>
      </w:r>
      <w:r w:rsidR="009C4253" w:rsidRPr="009C4253">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胃内镜黏膜下剥离</w:t>
      </w:r>
      <w:proofErr w:type="gramStart"/>
      <w:r w:rsidRPr="00E3081F">
        <w:rPr>
          <w:rFonts w:ascii="Times New Roman" w:eastAsia="宋体" w:hAnsi="Times New Roman" w:cs="Times New Roman"/>
          <w:sz w:val="24"/>
          <w:szCs w:val="24"/>
        </w:rPr>
        <w:t>术围手术期</w:t>
      </w:r>
      <w:proofErr w:type="gramEnd"/>
      <w:r w:rsidRPr="00E3081F">
        <w:rPr>
          <w:rFonts w:ascii="Times New Roman" w:eastAsia="宋体" w:hAnsi="Times New Roman" w:cs="Times New Roman"/>
          <w:sz w:val="24"/>
          <w:szCs w:val="24"/>
        </w:rPr>
        <w:t>指南</w:t>
      </w:r>
      <w:r w:rsidRPr="00E3081F">
        <w:rPr>
          <w:rFonts w:ascii="Times New Roman" w:eastAsia="宋体" w:hAnsi="Times New Roman" w:cs="Times New Roman"/>
          <w:sz w:val="24"/>
          <w:szCs w:val="24"/>
        </w:rPr>
        <w:t>[J].</w:t>
      </w:r>
      <w:r w:rsidRPr="00E3081F">
        <w:rPr>
          <w:rFonts w:ascii="Times New Roman" w:eastAsia="宋体" w:hAnsi="Times New Roman" w:cs="Times New Roman"/>
          <w:sz w:val="24"/>
          <w:szCs w:val="24"/>
        </w:rPr>
        <w:t>中华消化内镜杂志</w:t>
      </w:r>
      <w:r w:rsidR="009C4253">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2017</w:t>
      </w:r>
      <w:r w:rsidR="009C4253">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 xml:space="preserve">34(12): </w:t>
      </w:r>
      <w:proofErr w:type="gramStart"/>
      <w:r w:rsidRPr="00E3081F">
        <w:rPr>
          <w:rFonts w:ascii="Times New Roman" w:eastAsia="宋体" w:hAnsi="Times New Roman" w:cs="Times New Roman"/>
          <w:sz w:val="24"/>
          <w:szCs w:val="24"/>
        </w:rPr>
        <w:t>837-844.</w:t>
      </w:r>
      <w:proofErr w:type="gramEnd"/>
    </w:p>
    <w:p w:rsidR="007A5BD9" w:rsidRPr="00E3081F" w:rsidRDefault="006F57AF" w:rsidP="00A21783">
      <w:pPr>
        <w:spacing w:after="0" w:line="240" w:lineRule="auto"/>
        <w:contextualSpacing/>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[47]</w:t>
      </w:r>
      <w:r w:rsidR="009C4253">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 xml:space="preserve">Kaufman D W, Kelly J P, Rosenberg L, </w:t>
      </w:r>
      <w:r w:rsidRPr="009C4253">
        <w:rPr>
          <w:rFonts w:ascii="Times New Roman" w:eastAsia="宋体" w:hAnsi="Times New Roman" w:cs="Times New Roman"/>
          <w:i/>
          <w:sz w:val="24"/>
          <w:szCs w:val="24"/>
        </w:rPr>
        <w:t>et al</w:t>
      </w:r>
      <w:r w:rsidRPr="00E3081F">
        <w:rPr>
          <w:rFonts w:ascii="Times New Roman" w:eastAsia="宋体" w:hAnsi="Times New Roman" w:cs="Times New Roman"/>
          <w:sz w:val="24"/>
          <w:szCs w:val="24"/>
        </w:rPr>
        <w:t xml:space="preserve">. Recent patterns of medication use in the ambulatory adult population of the United States: the Slone </w:t>
      </w:r>
      <w:proofErr w:type="gramStart"/>
      <w:r w:rsidRPr="00E3081F">
        <w:rPr>
          <w:rFonts w:ascii="Times New Roman" w:eastAsia="宋体" w:hAnsi="Times New Roman" w:cs="Times New Roman"/>
          <w:sz w:val="24"/>
          <w:szCs w:val="24"/>
        </w:rPr>
        <w:t>survey[</w:t>
      </w:r>
      <w:proofErr w:type="gramEnd"/>
      <w:r w:rsidRPr="00E3081F">
        <w:rPr>
          <w:rFonts w:ascii="Times New Roman" w:eastAsia="宋体" w:hAnsi="Times New Roman" w:cs="Times New Roman"/>
          <w:sz w:val="24"/>
          <w:szCs w:val="24"/>
        </w:rPr>
        <w:t>J]. JAMA, 2002, 287(3): 337</w:t>
      </w:r>
      <w:r w:rsidR="009C4253">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344.</w:t>
      </w:r>
    </w:p>
    <w:p w:rsidR="007A5BD9" w:rsidRPr="00E3081F" w:rsidRDefault="006F57AF" w:rsidP="00A21783">
      <w:pPr>
        <w:spacing w:after="0" w:line="240" w:lineRule="auto"/>
        <w:contextualSpacing/>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[48]</w:t>
      </w:r>
      <w:r w:rsidR="009C4253">
        <w:rPr>
          <w:rFonts w:ascii="Times New Roman" w:eastAsia="宋体" w:hAnsi="Times New Roman" w:cs="Times New Roman" w:hint="eastAsia"/>
          <w:sz w:val="24"/>
          <w:szCs w:val="24"/>
        </w:rPr>
        <w:t xml:space="preserve"> </w:t>
      </w:r>
      <w:proofErr w:type="spellStart"/>
      <w:r w:rsidRPr="00E3081F">
        <w:rPr>
          <w:rFonts w:ascii="Times New Roman" w:eastAsia="宋体" w:hAnsi="Times New Roman" w:cs="Times New Roman"/>
          <w:sz w:val="24"/>
          <w:szCs w:val="24"/>
        </w:rPr>
        <w:t>Freedberg</w:t>
      </w:r>
      <w:proofErr w:type="spellEnd"/>
      <w:r w:rsidRPr="00E3081F">
        <w:rPr>
          <w:rFonts w:ascii="Times New Roman" w:eastAsia="宋体" w:hAnsi="Times New Roman" w:cs="Times New Roman"/>
          <w:sz w:val="24"/>
          <w:szCs w:val="24"/>
        </w:rPr>
        <w:t xml:space="preserve"> D E</w:t>
      </w:r>
      <w:r w:rsidR="009C4253">
        <w:rPr>
          <w:rFonts w:ascii="Times New Roman" w:eastAsia="宋体" w:hAnsi="Times New Roman" w:cs="Times New Roman" w:hint="eastAsia"/>
          <w:sz w:val="24"/>
          <w:szCs w:val="24"/>
        </w:rPr>
        <w:t xml:space="preserve">, </w:t>
      </w:r>
      <w:r w:rsidR="009C4253">
        <w:rPr>
          <w:rFonts w:ascii="Times New Roman" w:eastAsia="宋体" w:hAnsi="Times New Roman" w:cs="Times New Roman"/>
          <w:sz w:val="24"/>
          <w:szCs w:val="24"/>
        </w:rPr>
        <w:t>Kim L S, Yang Y X</w:t>
      </w:r>
      <w:r w:rsidRPr="00E3081F">
        <w:rPr>
          <w:rFonts w:ascii="Times New Roman" w:eastAsia="宋体" w:hAnsi="Times New Roman" w:cs="Times New Roman"/>
          <w:sz w:val="24"/>
          <w:szCs w:val="24"/>
        </w:rPr>
        <w:t xml:space="preserve">. The Risks and Benefits of Long-term Use of Proton Pump Inhibitors: </w:t>
      </w:r>
      <w:r w:rsidR="009C4253">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 xml:space="preserve">Expert Review and Best Practice Advice From the American Gastroenterological </w:t>
      </w:r>
      <w:proofErr w:type="gramStart"/>
      <w:r w:rsidRPr="00E3081F">
        <w:rPr>
          <w:rFonts w:ascii="Times New Roman" w:eastAsia="宋体" w:hAnsi="Times New Roman" w:cs="Times New Roman"/>
          <w:sz w:val="24"/>
          <w:szCs w:val="24"/>
        </w:rPr>
        <w:t>Association[</w:t>
      </w:r>
      <w:proofErr w:type="gramEnd"/>
      <w:r w:rsidRPr="00E3081F">
        <w:rPr>
          <w:rFonts w:ascii="Times New Roman" w:eastAsia="宋体" w:hAnsi="Times New Roman" w:cs="Times New Roman"/>
          <w:sz w:val="24"/>
          <w:szCs w:val="24"/>
        </w:rPr>
        <w:t>J].</w:t>
      </w:r>
      <w:r w:rsidR="009C4253">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Gastroenterology, 2017, 152(4):706-715.</w:t>
      </w:r>
    </w:p>
    <w:p w:rsidR="007A5BD9" w:rsidRPr="00E3081F" w:rsidRDefault="006F57AF" w:rsidP="00A21783">
      <w:pPr>
        <w:spacing w:after="0" w:line="240" w:lineRule="auto"/>
        <w:contextualSpacing/>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[49]</w:t>
      </w:r>
      <w:r w:rsidR="009C4253">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曾英彤</w:t>
      </w:r>
      <w:r w:rsidRPr="00E3081F">
        <w:rPr>
          <w:rFonts w:ascii="Times New Roman" w:eastAsia="宋体" w:hAnsi="Times New Roman" w:cs="Times New Roman"/>
          <w:sz w:val="24"/>
          <w:szCs w:val="24"/>
        </w:rPr>
        <w:t xml:space="preserve">, </w:t>
      </w:r>
      <w:r w:rsidRPr="00E3081F">
        <w:rPr>
          <w:rFonts w:ascii="Times New Roman" w:eastAsia="宋体" w:hAnsi="Times New Roman" w:cs="Times New Roman"/>
          <w:sz w:val="24"/>
          <w:szCs w:val="24"/>
        </w:rPr>
        <w:t>杨敏</w:t>
      </w:r>
      <w:r w:rsidRPr="00E3081F">
        <w:rPr>
          <w:rFonts w:ascii="Times New Roman" w:eastAsia="宋体" w:hAnsi="Times New Roman" w:cs="Times New Roman"/>
          <w:sz w:val="24"/>
          <w:szCs w:val="24"/>
        </w:rPr>
        <w:t xml:space="preserve">, </w:t>
      </w:r>
      <w:r w:rsidRPr="00E3081F">
        <w:rPr>
          <w:rFonts w:ascii="Times New Roman" w:eastAsia="宋体" w:hAnsi="Times New Roman" w:cs="Times New Roman"/>
          <w:sz w:val="24"/>
          <w:szCs w:val="24"/>
        </w:rPr>
        <w:t>伍俊妍</w:t>
      </w:r>
      <w:r w:rsidRPr="00E3081F">
        <w:rPr>
          <w:rFonts w:ascii="Times New Roman" w:eastAsia="宋体" w:hAnsi="Times New Roman" w:cs="Times New Roman"/>
          <w:sz w:val="24"/>
          <w:szCs w:val="24"/>
        </w:rPr>
        <w:t xml:space="preserve">, </w:t>
      </w:r>
      <w:r w:rsidRPr="00E3081F">
        <w:rPr>
          <w:rFonts w:ascii="Times New Roman" w:eastAsia="宋体" w:hAnsi="Times New Roman" w:cs="Times New Roman"/>
          <w:sz w:val="24"/>
          <w:szCs w:val="24"/>
        </w:rPr>
        <w:t>等</w:t>
      </w:r>
      <w:r w:rsidRPr="00E3081F">
        <w:rPr>
          <w:rFonts w:ascii="Times New Roman" w:eastAsia="宋体" w:hAnsi="Times New Roman" w:cs="Times New Roman"/>
          <w:sz w:val="24"/>
          <w:szCs w:val="24"/>
        </w:rPr>
        <w:t xml:space="preserve">. </w:t>
      </w:r>
      <w:r w:rsidRPr="00E3081F">
        <w:rPr>
          <w:rFonts w:ascii="Times New Roman" w:eastAsia="宋体" w:hAnsi="Times New Roman" w:cs="Times New Roman"/>
          <w:sz w:val="24"/>
          <w:szCs w:val="24"/>
        </w:rPr>
        <w:t>药学服务新模式</w:t>
      </w:r>
      <w:r w:rsidR="009C4253">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处方精简</w:t>
      </w:r>
      <w:r w:rsidRPr="00E3081F">
        <w:rPr>
          <w:rFonts w:ascii="Times New Roman" w:eastAsia="宋体" w:hAnsi="Times New Roman" w:cs="Times New Roman"/>
          <w:sz w:val="24"/>
          <w:szCs w:val="24"/>
        </w:rPr>
        <w:t>(</w:t>
      </w:r>
      <w:proofErr w:type="spellStart"/>
      <w:r w:rsidRPr="00E3081F">
        <w:rPr>
          <w:rFonts w:ascii="Times New Roman" w:eastAsia="宋体" w:hAnsi="Times New Roman" w:cs="Times New Roman"/>
          <w:sz w:val="24"/>
          <w:szCs w:val="24"/>
        </w:rPr>
        <w:t>Deprescribing</w:t>
      </w:r>
      <w:proofErr w:type="spellEnd"/>
      <w:r w:rsidRPr="00E3081F">
        <w:rPr>
          <w:rFonts w:ascii="Times New Roman" w:eastAsia="宋体" w:hAnsi="Times New Roman" w:cs="Times New Roman"/>
          <w:sz w:val="24"/>
          <w:szCs w:val="24"/>
        </w:rPr>
        <w:t xml:space="preserve">)[J]. </w:t>
      </w:r>
      <w:r w:rsidRPr="00E3081F">
        <w:rPr>
          <w:rFonts w:ascii="Times New Roman" w:eastAsia="宋体" w:hAnsi="Times New Roman" w:cs="Times New Roman"/>
          <w:sz w:val="24"/>
          <w:szCs w:val="24"/>
        </w:rPr>
        <w:t>今日药学</w:t>
      </w:r>
      <w:r w:rsidRPr="00E3081F">
        <w:rPr>
          <w:rFonts w:ascii="Times New Roman" w:eastAsia="宋体" w:hAnsi="Times New Roman" w:cs="Times New Roman"/>
          <w:sz w:val="24"/>
          <w:szCs w:val="24"/>
        </w:rPr>
        <w:t>, 2017,27</w:t>
      </w:r>
      <w:r w:rsidR="009C4253">
        <w:rPr>
          <w:rFonts w:ascii="Times New Roman" w:eastAsia="宋体" w:hAnsi="Times New Roman" w:cs="Times New Roman" w:hint="eastAsia"/>
          <w:sz w:val="24"/>
          <w:szCs w:val="24"/>
        </w:rPr>
        <w:t>(6)</w:t>
      </w:r>
      <w:r w:rsidRPr="00E3081F">
        <w:rPr>
          <w:rFonts w:ascii="Times New Roman" w:eastAsia="宋体" w:hAnsi="Times New Roman" w:cs="Times New Roman"/>
          <w:sz w:val="24"/>
          <w:szCs w:val="24"/>
        </w:rPr>
        <w:t>:</w:t>
      </w:r>
      <w:proofErr w:type="gramStart"/>
      <w:r w:rsidRPr="00E3081F">
        <w:rPr>
          <w:rFonts w:ascii="Times New Roman" w:eastAsia="宋体" w:hAnsi="Times New Roman" w:cs="Times New Roman"/>
          <w:sz w:val="24"/>
          <w:szCs w:val="24"/>
        </w:rPr>
        <w:t>390-393.</w:t>
      </w:r>
      <w:proofErr w:type="gramEnd"/>
      <w:r w:rsidR="009C4253">
        <w:rPr>
          <w:rFonts w:ascii="Times New Roman" w:eastAsia="宋体" w:hAnsi="Times New Roman" w:cs="Times New Roman"/>
          <w:sz w:val="24"/>
          <w:szCs w:val="24"/>
        </w:rPr>
        <w:t xml:space="preserve">  </w:t>
      </w:r>
    </w:p>
    <w:p w:rsidR="007A5BD9" w:rsidRPr="00E3081F" w:rsidRDefault="006F57AF" w:rsidP="00A21783">
      <w:pPr>
        <w:spacing w:after="0" w:line="240" w:lineRule="auto"/>
        <w:contextualSpacing/>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[50]</w:t>
      </w:r>
      <w:r w:rsidR="009C4253">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 xml:space="preserve">Farrell B, </w:t>
      </w:r>
      <w:proofErr w:type="spellStart"/>
      <w:r w:rsidRPr="00E3081F">
        <w:rPr>
          <w:rFonts w:ascii="Times New Roman" w:eastAsia="宋体" w:hAnsi="Times New Roman" w:cs="Times New Roman"/>
          <w:sz w:val="24"/>
          <w:szCs w:val="24"/>
        </w:rPr>
        <w:t>Pottie</w:t>
      </w:r>
      <w:proofErr w:type="spellEnd"/>
      <w:r w:rsidRPr="00E3081F">
        <w:rPr>
          <w:rFonts w:ascii="Times New Roman" w:eastAsia="宋体" w:hAnsi="Times New Roman" w:cs="Times New Roman"/>
          <w:sz w:val="24"/>
          <w:szCs w:val="24"/>
        </w:rPr>
        <w:t xml:space="preserve"> K, Thompson </w:t>
      </w:r>
      <w:proofErr w:type="spellStart"/>
      <w:r w:rsidRPr="00E3081F">
        <w:rPr>
          <w:rFonts w:ascii="Times New Roman" w:eastAsia="宋体" w:hAnsi="Times New Roman" w:cs="Times New Roman"/>
          <w:sz w:val="24"/>
          <w:szCs w:val="24"/>
        </w:rPr>
        <w:t>W</w:t>
      </w:r>
      <w:proofErr w:type="gramStart"/>
      <w:r w:rsidR="009C4253">
        <w:rPr>
          <w:rFonts w:ascii="Times New Roman" w:eastAsia="宋体" w:hAnsi="Times New Roman" w:cs="Times New Roman" w:hint="eastAsia"/>
          <w:sz w:val="24"/>
          <w:szCs w:val="24"/>
        </w:rPr>
        <w:t>,</w:t>
      </w:r>
      <w:r w:rsidRPr="009C4253">
        <w:rPr>
          <w:rFonts w:ascii="Times New Roman" w:eastAsia="宋体" w:hAnsi="Times New Roman" w:cs="Times New Roman"/>
          <w:i/>
          <w:sz w:val="24"/>
          <w:szCs w:val="24"/>
        </w:rPr>
        <w:t>et</w:t>
      </w:r>
      <w:proofErr w:type="spellEnd"/>
      <w:proofErr w:type="gramEnd"/>
      <w:r w:rsidRPr="009C4253">
        <w:rPr>
          <w:rFonts w:ascii="Times New Roman" w:eastAsia="宋体" w:hAnsi="Times New Roman" w:cs="Times New Roman"/>
          <w:i/>
          <w:sz w:val="24"/>
          <w:szCs w:val="24"/>
        </w:rPr>
        <w:t xml:space="preserve"> al</w:t>
      </w:r>
      <w:r w:rsidRPr="00E3081F">
        <w:rPr>
          <w:rFonts w:ascii="Times New Roman" w:eastAsia="宋体" w:hAnsi="Times New Roman" w:cs="Times New Roman"/>
          <w:sz w:val="24"/>
          <w:szCs w:val="24"/>
        </w:rPr>
        <w:t xml:space="preserve">. </w:t>
      </w:r>
      <w:proofErr w:type="spellStart"/>
      <w:r w:rsidRPr="00E3081F">
        <w:rPr>
          <w:rFonts w:ascii="Times New Roman" w:eastAsia="宋体" w:hAnsi="Times New Roman" w:cs="Times New Roman"/>
          <w:sz w:val="24"/>
          <w:szCs w:val="24"/>
        </w:rPr>
        <w:t>Deprescribing</w:t>
      </w:r>
      <w:proofErr w:type="spellEnd"/>
      <w:r w:rsidRPr="00E3081F">
        <w:rPr>
          <w:rFonts w:ascii="Times New Roman" w:eastAsia="宋体" w:hAnsi="Times New Roman" w:cs="Times New Roman"/>
          <w:sz w:val="24"/>
          <w:szCs w:val="24"/>
        </w:rPr>
        <w:t xml:space="preserve"> proton pump inhibitors: Evidence-based clinical practice guideline[J]. Can Fam Physician</w:t>
      </w:r>
      <w:proofErr w:type="gramStart"/>
      <w:r w:rsidR="009C4253">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2017</w:t>
      </w:r>
      <w:r w:rsidR="009C4253">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63</w:t>
      </w:r>
      <w:proofErr w:type="gramEnd"/>
      <w:r w:rsidRPr="00E3081F">
        <w:rPr>
          <w:rFonts w:ascii="Times New Roman" w:eastAsia="宋体" w:hAnsi="Times New Roman" w:cs="Times New Roman"/>
          <w:sz w:val="24"/>
          <w:szCs w:val="24"/>
        </w:rPr>
        <w:t>(5):354-364.</w:t>
      </w:r>
    </w:p>
    <w:p w:rsidR="007A5BD9" w:rsidRPr="00E3081F" w:rsidRDefault="006F57AF" w:rsidP="00A21783">
      <w:pPr>
        <w:spacing w:after="0" w:line="240" w:lineRule="auto"/>
        <w:contextualSpacing/>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[51]</w:t>
      </w:r>
      <w:r w:rsidR="009C4253">
        <w:rPr>
          <w:rFonts w:ascii="Times New Roman" w:eastAsia="宋体" w:hAnsi="Times New Roman" w:cs="Times New Roman" w:hint="eastAsia"/>
          <w:sz w:val="24"/>
          <w:szCs w:val="24"/>
        </w:rPr>
        <w:t xml:space="preserve"> </w:t>
      </w:r>
      <w:proofErr w:type="gramStart"/>
      <w:r w:rsidRPr="00E3081F">
        <w:rPr>
          <w:rFonts w:ascii="Times New Roman" w:eastAsia="宋体" w:hAnsi="Times New Roman" w:cs="Times New Roman"/>
          <w:sz w:val="24"/>
          <w:szCs w:val="24"/>
        </w:rPr>
        <w:t>孙培红</w:t>
      </w:r>
      <w:proofErr w:type="gramEnd"/>
      <w:r w:rsidRPr="00E3081F">
        <w:rPr>
          <w:rFonts w:ascii="Times New Roman" w:eastAsia="宋体" w:hAnsi="Times New Roman" w:cs="Times New Roman"/>
          <w:sz w:val="24"/>
          <w:szCs w:val="24"/>
        </w:rPr>
        <w:t xml:space="preserve">, </w:t>
      </w:r>
      <w:proofErr w:type="gramStart"/>
      <w:r w:rsidRPr="00E3081F">
        <w:rPr>
          <w:rFonts w:ascii="Times New Roman" w:eastAsia="宋体" w:hAnsi="Times New Roman" w:cs="Times New Roman"/>
          <w:sz w:val="24"/>
          <w:szCs w:val="24"/>
        </w:rPr>
        <w:t>鲁云兰</w:t>
      </w:r>
      <w:proofErr w:type="gramEnd"/>
      <w:r w:rsidRPr="00E3081F">
        <w:rPr>
          <w:rFonts w:ascii="Times New Roman" w:eastAsia="宋体" w:hAnsi="Times New Roman" w:cs="Times New Roman"/>
          <w:sz w:val="24"/>
          <w:szCs w:val="24"/>
        </w:rPr>
        <w:t xml:space="preserve">. </w:t>
      </w:r>
      <w:r w:rsidRPr="00E3081F">
        <w:rPr>
          <w:rFonts w:ascii="Times New Roman" w:eastAsia="宋体" w:hAnsi="Times New Roman" w:cs="Times New Roman"/>
          <w:sz w:val="24"/>
          <w:szCs w:val="24"/>
        </w:rPr>
        <w:t>质子泵抑制剂的药理作用及临床应用</w:t>
      </w:r>
      <w:r w:rsidRPr="00E3081F">
        <w:rPr>
          <w:rFonts w:ascii="Times New Roman" w:eastAsia="宋体" w:hAnsi="Times New Roman" w:cs="Times New Roman"/>
          <w:sz w:val="24"/>
          <w:szCs w:val="24"/>
        </w:rPr>
        <w:t>[J].</w:t>
      </w:r>
      <w:r w:rsidRPr="00E3081F">
        <w:rPr>
          <w:rFonts w:ascii="Times New Roman" w:eastAsia="宋体" w:hAnsi="Times New Roman" w:cs="Times New Roman"/>
          <w:sz w:val="24"/>
          <w:szCs w:val="24"/>
        </w:rPr>
        <w:t>中国医院用药评价与分析</w:t>
      </w:r>
      <w:r w:rsidRPr="00E3081F">
        <w:rPr>
          <w:rFonts w:ascii="Times New Roman" w:eastAsia="宋体" w:hAnsi="Times New Roman" w:cs="Times New Roman"/>
          <w:sz w:val="24"/>
          <w:szCs w:val="24"/>
        </w:rPr>
        <w:t>, 2003, 3(3):</w:t>
      </w:r>
      <w:proofErr w:type="gramStart"/>
      <w:r w:rsidRPr="00E3081F">
        <w:rPr>
          <w:rFonts w:ascii="Times New Roman" w:eastAsia="宋体" w:hAnsi="Times New Roman" w:cs="Times New Roman"/>
          <w:sz w:val="24"/>
          <w:szCs w:val="24"/>
        </w:rPr>
        <w:t>180-184.</w:t>
      </w:r>
      <w:proofErr w:type="gramEnd"/>
      <w:r w:rsidRPr="00E3081F">
        <w:rPr>
          <w:rFonts w:ascii="Times New Roman" w:eastAsia="宋体" w:hAnsi="Times New Roman" w:cs="Times New Roman"/>
          <w:sz w:val="24"/>
          <w:szCs w:val="24"/>
        </w:rPr>
        <w:t xml:space="preserve"> </w:t>
      </w:r>
    </w:p>
    <w:p w:rsidR="007A5BD9" w:rsidRPr="00C41029" w:rsidRDefault="006F57AF" w:rsidP="00A21783">
      <w:pPr>
        <w:spacing w:after="0" w:line="240" w:lineRule="auto"/>
        <w:contextualSpacing/>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[52]</w:t>
      </w:r>
      <w:r w:rsidR="009C4253">
        <w:rPr>
          <w:rFonts w:ascii="Times New Roman" w:eastAsia="宋体" w:hAnsi="Times New Roman" w:cs="Times New Roman" w:hint="eastAsia"/>
          <w:sz w:val="24"/>
          <w:szCs w:val="24"/>
        </w:rPr>
        <w:t xml:space="preserve"> </w:t>
      </w:r>
      <w:hyperlink r:id="rId16" w:history="1">
        <w:r w:rsidRPr="00C41029">
          <w:rPr>
            <w:rFonts w:ascii="Times New Roman" w:eastAsia="宋体" w:hAnsi="Times New Roman" w:cs="Times New Roman"/>
            <w:sz w:val="24"/>
            <w:szCs w:val="24"/>
          </w:rPr>
          <w:t>Miner P J</w:t>
        </w:r>
      </w:hyperlink>
      <w:r w:rsidRPr="00C41029">
        <w:rPr>
          <w:rFonts w:ascii="Times New Roman" w:eastAsia="宋体" w:hAnsi="Times New Roman" w:cs="Times New Roman"/>
          <w:sz w:val="24"/>
          <w:szCs w:val="24"/>
        </w:rPr>
        <w:t>, </w:t>
      </w:r>
      <w:hyperlink r:id="rId17" w:history="1">
        <w:r w:rsidRPr="00C41029">
          <w:rPr>
            <w:rFonts w:ascii="Times New Roman" w:eastAsia="宋体" w:hAnsi="Times New Roman" w:cs="Times New Roman"/>
            <w:sz w:val="24"/>
            <w:szCs w:val="24"/>
          </w:rPr>
          <w:t>Katz P</w:t>
        </w:r>
        <w:r w:rsidR="009C4253" w:rsidRPr="00C41029">
          <w:rPr>
            <w:rFonts w:ascii="Times New Roman" w:eastAsia="宋体" w:hAnsi="Times New Roman" w:cs="Times New Roman" w:hint="eastAsia"/>
            <w:sz w:val="24"/>
            <w:szCs w:val="24"/>
          </w:rPr>
          <w:t xml:space="preserve"> </w:t>
        </w:r>
        <w:r w:rsidRPr="00C41029">
          <w:rPr>
            <w:rFonts w:ascii="Times New Roman" w:eastAsia="宋体" w:hAnsi="Times New Roman" w:cs="Times New Roman"/>
            <w:sz w:val="24"/>
            <w:szCs w:val="24"/>
          </w:rPr>
          <w:t>O</w:t>
        </w:r>
      </w:hyperlink>
      <w:r w:rsidRPr="00C41029">
        <w:rPr>
          <w:rFonts w:ascii="Times New Roman" w:eastAsia="宋体" w:hAnsi="Times New Roman" w:cs="Times New Roman"/>
          <w:sz w:val="24"/>
          <w:szCs w:val="24"/>
        </w:rPr>
        <w:t>, </w:t>
      </w:r>
      <w:hyperlink r:id="rId18" w:history="1">
        <w:r w:rsidRPr="00C41029">
          <w:rPr>
            <w:rFonts w:ascii="Times New Roman" w:eastAsia="宋体" w:hAnsi="Times New Roman" w:cs="Times New Roman"/>
            <w:sz w:val="24"/>
            <w:szCs w:val="24"/>
          </w:rPr>
          <w:t>Chen Y</w:t>
        </w:r>
      </w:hyperlink>
      <w:r w:rsidRPr="00C41029">
        <w:rPr>
          <w:rFonts w:ascii="Times New Roman" w:eastAsia="宋体" w:hAnsi="Times New Roman" w:cs="Times New Roman"/>
          <w:sz w:val="24"/>
          <w:szCs w:val="24"/>
        </w:rPr>
        <w:t xml:space="preserve">, </w:t>
      </w:r>
      <w:r w:rsidRPr="00890F61">
        <w:rPr>
          <w:rFonts w:ascii="Times New Roman" w:eastAsia="宋体" w:hAnsi="Times New Roman" w:cs="Times New Roman"/>
          <w:i/>
          <w:sz w:val="24"/>
          <w:szCs w:val="24"/>
        </w:rPr>
        <w:t>et al</w:t>
      </w:r>
      <w:r w:rsidRPr="00890F61">
        <w:rPr>
          <w:rFonts w:ascii="Times New Roman" w:eastAsia="宋体" w:hAnsi="Times New Roman" w:cs="Times New Roman"/>
          <w:sz w:val="24"/>
          <w:szCs w:val="24"/>
        </w:rPr>
        <w:t xml:space="preserve">. Reanalysis of </w:t>
      </w:r>
      <w:proofErr w:type="spellStart"/>
      <w:r w:rsidRPr="00890F61">
        <w:rPr>
          <w:rFonts w:ascii="Times New Roman" w:eastAsia="宋体" w:hAnsi="Times New Roman" w:cs="Times New Roman"/>
          <w:sz w:val="24"/>
          <w:szCs w:val="24"/>
        </w:rPr>
        <w:t>intragastric</w:t>
      </w:r>
      <w:proofErr w:type="spellEnd"/>
      <w:r w:rsidRPr="00890F61">
        <w:rPr>
          <w:rFonts w:ascii="Times New Roman" w:eastAsia="宋体" w:hAnsi="Times New Roman" w:cs="Times New Roman"/>
          <w:sz w:val="24"/>
          <w:szCs w:val="24"/>
        </w:rPr>
        <w:t xml:space="preserve"> pH results based on updated correction factors for </w:t>
      </w:r>
      <w:proofErr w:type="spellStart"/>
      <w:r w:rsidRPr="00890F61">
        <w:rPr>
          <w:rFonts w:ascii="Times New Roman" w:eastAsia="宋体" w:hAnsi="Times New Roman" w:cs="Times New Roman"/>
          <w:sz w:val="24"/>
          <w:szCs w:val="24"/>
        </w:rPr>
        <w:t>Slimline</w:t>
      </w:r>
      <w:proofErr w:type="spellEnd"/>
      <w:r w:rsidRPr="00890F61">
        <w:rPr>
          <w:rFonts w:ascii="Times New Roman" w:eastAsia="宋体" w:hAnsi="Times New Roman" w:cs="Times New Roman"/>
          <w:sz w:val="24"/>
          <w:szCs w:val="24"/>
        </w:rPr>
        <w:t xml:space="preserve"> and </w:t>
      </w:r>
      <w:proofErr w:type="spellStart"/>
      <w:r w:rsidRPr="00890F61">
        <w:rPr>
          <w:rFonts w:ascii="Times New Roman" w:eastAsia="宋体" w:hAnsi="Times New Roman" w:cs="Times New Roman"/>
          <w:sz w:val="24"/>
          <w:szCs w:val="24"/>
        </w:rPr>
        <w:t>Zinetics</w:t>
      </w:r>
      <w:proofErr w:type="spellEnd"/>
      <w:r w:rsidRPr="00890F61">
        <w:rPr>
          <w:rFonts w:ascii="Times New Roman" w:eastAsia="宋体" w:hAnsi="Times New Roman" w:cs="Times New Roman"/>
          <w:sz w:val="24"/>
          <w:szCs w:val="24"/>
        </w:rPr>
        <w:t xml:space="preserve"> 24 single-use pH catheters[J]</w:t>
      </w:r>
      <w:r w:rsidRPr="00C41029">
        <w:rPr>
          <w:rFonts w:ascii="Times New Roman" w:eastAsia="宋体" w:hAnsi="Times New Roman" w:cs="Times New Roman"/>
          <w:sz w:val="24"/>
          <w:szCs w:val="24"/>
        </w:rPr>
        <w:t xml:space="preserve">. </w:t>
      </w:r>
      <w:hyperlink r:id="rId19" w:tooltip="The American journal of gastroenterology." w:history="1">
        <w:r w:rsidRPr="00C41029">
          <w:rPr>
            <w:rFonts w:ascii="Times New Roman" w:hAnsi="Times New Roman" w:cs="Times New Roman"/>
            <w:sz w:val="24"/>
            <w:szCs w:val="24"/>
          </w:rPr>
          <w:t>Am J Gastroenterol</w:t>
        </w:r>
        <w:r w:rsidR="00836C30" w:rsidRPr="00C41029">
          <w:rPr>
            <w:rFonts w:ascii="Times New Roman" w:hAnsi="Times New Roman" w:cs="Times New Roman"/>
            <w:sz w:val="24"/>
            <w:szCs w:val="24"/>
          </w:rPr>
          <w:t>,</w:t>
        </w:r>
      </w:hyperlink>
      <w:r w:rsidRPr="00C41029">
        <w:rPr>
          <w:rFonts w:ascii="Times New Roman" w:eastAsia="宋体" w:hAnsi="Times New Roman" w:cs="Times New Roman"/>
          <w:sz w:val="24"/>
          <w:szCs w:val="24"/>
        </w:rPr>
        <w:t> 2006</w:t>
      </w:r>
      <w:proofErr w:type="gramStart"/>
      <w:r w:rsidR="00836C30" w:rsidRPr="00C41029">
        <w:rPr>
          <w:rFonts w:ascii="Times New Roman" w:eastAsia="宋体" w:hAnsi="Times New Roman" w:cs="Times New Roman"/>
          <w:sz w:val="24"/>
          <w:szCs w:val="24"/>
        </w:rPr>
        <w:t>,</w:t>
      </w:r>
      <w:r w:rsidRPr="00C41029">
        <w:rPr>
          <w:rFonts w:ascii="Times New Roman" w:eastAsia="宋体" w:hAnsi="Times New Roman" w:cs="Times New Roman"/>
          <w:sz w:val="24"/>
          <w:szCs w:val="24"/>
        </w:rPr>
        <w:t>101</w:t>
      </w:r>
      <w:proofErr w:type="gramEnd"/>
      <w:r w:rsidRPr="00C41029">
        <w:rPr>
          <w:rFonts w:ascii="Times New Roman" w:eastAsia="宋体" w:hAnsi="Times New Roman" w:cs="Times New Roman"/>
          <w:sz w:val="24"/>
          <w:szCs w:val="24"/>
        </w:rPr>
        <w:t>(2):404-</w:t>
      </w:r>
      <w:r w:rsidR="00836C30" w:rsidRPr="00C41029">
        <w:rPr>
          <w:rFonts w:ascii="Times New Roman" w:eastAsia="宋体" w:hAnsi="Times New Roman" w:cs="Times New Roman"/>
          <w:sz w:val="24"/>
          <w:szCs w:val="24"/>
        </w:rPr>
        <w:t>40</w:t>
      </w:r>
      <w:r w:rsidRPr="00C41029">
        <w:rPr>
          <w:rFonts w:ascii="Times New Roman" w:eastAsia="宋体" w:hAnsi="Times New Roman" w:cs="Times New Roman"/>
          <w:sz w:val="24"/>
          <w:szCs w:val="24"/>
        </w:rPr>
        <w:t>5</w:t>
      </w:r>
      <w:r w:rsidR="00836C30" w:rsidRPr="00C41029">
        <w:rPr>
          <w:rFonts w:ascii="Times New Roman" w:eastAsia="宋体" w:hAnsi="Times New Roman" w:cs="Times New Roman"/>
          <w:sz w:val="24"/>
          <w:szCs w:val="24"/>
        </w:rPr>
        <w:t>.</w:t>
      </w:r>
    </w:p>
    <w:p w:rsidR="007A5BD9" w:rsidRPr="00E3081F" w:rsidRDefault="006F57AF" w:rsidP="00A21783">
      <w:pPr>
        <w:spacing w:after="0"/>
        <w:jc w:val="both"/>
        <w:rPr>
          <w:rFonts w:ascii="Times New Roman" w:eastAsia="宋体" w:hAnsi="Times New Roman" w:cs="Times New Roman"/>
          <w:sz w:val="24"/>
          <w:szCs w:val="24"/>
          <w:shd w:val="clear" w:color="auto" w:fill="FFFFFF"/>
        </w:rPr>
      </w:pPr>
      <w:r w:rsidRPr="00E3081F">
        <w:rPr>
          <w:rFonts w:ascii="Times New Roman" w:eastAsia="宋体" w:hAnsi="Times New Roman" w:cs="Times New Roman"/>
          <w:sz w:val="24"/>
          <w:szCs w:val="24"/>
        </w:rPr>
        <w:t>[53]</w:t>
      </w:r>
      <w:r w:rsidR="00836C30">
        <w:rPr>
          <w:rFonts w:ascii="Times New Roman" w:eastAsia="宋体" w:hAnsi="Times New Roman" w:cs="Times New Roman" w:hint="eastAsia"/>
          <w:sz w:val="24"/>
          <w:szCs w:val="24"/>
        </w:rPr>
        <w:t xml:space="preserve"> </w:t>
      </w:r>
      <w:proofErr w:type="spellStart"/>
      <w:r w:rsidRPr="00E3081F">
        <w:rPr>
          <w:rFonts w:ascii="Times New Roman" w:eastAsia="宋体" w:hAnsi="Times New Roman" w:cs="Times New Roman"/>
          <w:sz w:val="24"/>
          <w:szCs w:val="24"/>
        </w:rPr>
        <w:t>Scarpignato</w:t>
      </w:r>
      <w:proofErr w:type="spellEnd"/>
      <w:r w:rsidRPr="00E3081F">
        <w:rPr>
          <w:rFonts w:ascii="Times New Roman" w:eastAsia="宋体" w:hAnsi="Times New Roman" w:cs="Times New Roman"/>
          <w:sz w:val="24"/>
          <w:szCs w:val="24"/>
        </w:rPr>
        <w:t xml:space="preserve"> C, </w:t>
      </w:r>
      <w:proofErr w:type="spellStart"/>
      <w:r w:rsidRPr="00E3081F">
        <w:rPr>
          <w:rFonts w:ascii="Times New Roman" w:eastAsia="宋体" w:hAnsi="Times New Roman" w:cs="Times New Roman"/>
          <w:sz w:val="24"/>
          <w:szCs w:val="24"/>
        </w:rPr>
        <w:t>Gatta</w:t>
      </w:r>
      <w:proofErr w:type="spellEnd"/>
      <w:r w:rsidRPr="00E3081F">
        <w:rPr>
          <w:rFonts w:ascii="Times New Roman" w:eastAsia="宋体" w:hAnsi="Times New Roman" w:cs="Times New Roman"/>
          <w:sz w:val="24"/>
          <w:szCs w:val="24"/>
        </w:rPr>
        <w:t xml:space="preserve"> L</w:t>
      </w:r>
      <w:r w:rsidR="00836C30">
        <w:rPr>
          <w:rFonts w:ascii="Times New Roman" w:eastAsia="宋体" w:hAnsi="Times New Roman" w:cs="Times New Roman" w:hint="eastAsia"/>
          <w:sz w:val="24"/>
          <w:szCs w:val="24"/>
        </w:rPr>
        <w:t xml:space="preserve">, </w:t>
      </w:r>
      <w:proofErr w:type="spellStart"/>
      <w:r w:rsidRPr="00E3081F">
        <w:rPr>
          <w:rFonts w:ascii="Times New Roman" w:eastAsia="宋体" w:hAnsi="Times New Roman" w:cs="Times New Roman"/>
          <w:sz w:val="24"/>
          <w:szCs w:val="24"/>
        </w:rPr>
        <w:t>Zullo</w:t>
      </w:r>
      <w:proofErr w:type="spellEnd"/>
      <w:r w:rsidRPr="00E3081F">
        <w:rPr>
          <w:rFonts w:ascii="Times New Roman" w:eastAsia="宋体" w:hAnsi="Times New Roman" w:cs="Times New Roman"/>
          <w:sz w:val="24"/>
          <w:szCs w:val="24"/>
        </w:rPr>
        <w:t xml:space="preserve"> A, </w:t>
      </w:r>
      <w:r w:rsidRPr="00836C30">
        <w:rPr>
          <w:rFonts w:ascii="Times New Roman" w:eastAsia="宋体" w:hAnsi="Times New Roman" w:cs="Times New Roman"/>
          <w:i/>
          <w:sz w:val="24"/>
          <w:szCs w:val="24"/>
        </w:rPr>
        <w:t>et al</w:t>
      </w:r>
      <w:r w:rsidRPr="00E3081F">
        <w:rPr>
          <w:rFonts w:ascii="Times New Roman" w:eastAsia="宋体" w:hAnsi="Times New Roman" w:cs="Times New Roman"/>
          <w:sz w:val="24"/>
          <w:szCs w:val="24"/>
        </w:rPr>
        <w:t>. Effective and safe proton pump inhibitor therapy in acid-related diseases</w:t>
      </w:r>
      <w:r w:rsidR="006B2111">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 xml:space="preserve">A position paper addressing benefits and potential harms of acid </w:t>
      </w:r>
      <w:proofErr w:type="gramStart"/>
      <w:r w:rsidRPr="00E3081F">
        <w:rPr>
          <w:rFonts w:ascii="Times New Roman" w:eastAsia="宋体" w:hAnsi="Times New Roman" w:cs="Times New Roman"/>
          <w:sz w:val="24"/>
          <w:szCs w:val="24"/>
        </w:rPr>
        <w:t>suppression[</w:t>
      </w:r>
      <w:proofErr w:type="gramEnd"/>
      <w:r w:rsidRPr="00E3081F">
        <w:rPr>
          <w:rFonts w:ascii="Times New Roman" w:eastAsia="宋体" w:hAnsi="Times New Roman" w:cs="Times New Roman"/>
          <w:sz w:val="24"/>
          <w:szCs w:val="24"/>
        </w:rPr>
        <w:t>J</w:t>
      </w:r>
      <w:r w:rsidRPr="00C41029">
        <w:rPr>
          <w:rFonts w:ascii="Times New Roman" w:eastAsia="宋体" w:hAnsi="Times New Roman" w:cs="Times New Roman"/>
          <w:sz w:val="24"/>
          <w:szCs w:val="24"/>
        </w:rPr>
        <w:t>].</w:t>
      </w:r>
      <w:hyperlink r:id="rId20" w:tooltip="BMC medicine." w:history="1">
        <w:r w:rsidRPr="00C41029">
          <w:rPr>
            <w:rFonts w:ascii="Times New Roman" w:hAnsi="Times New Roman" w:cs="Times New Roman"/>
            <w:sz w:val="24"/>
            <w:szCs w:val="24"/>
          </w:rPr>
          <w:t>BMC Med</w:t>
        </w:r>
        <w:r w:rsidR="006B2111" w:rsidRPr="00C41029">
          <w:rPr>
            <w:rFonts w:ascii="Times New Roman" w:hAnsi="Times New Roman" w:cs="Times New Roman"/>
            <w:sz w:val="24"/>
            <w:szCs w:val="24"/>
          </w:rPr>
          <w:t>,</w:t>
        </w:r>
      </w:hyperlink>
      <w:r w:rsidRPr="00C41029">
        <w:rPr>
          <w:rFonts w:ascii="Times New Roman" w:eastAsia="宋体" w:hAnsi="Times New Roman" w:cs="Times New Roman"/>
          <w:sz w:val="24"/>
          <w:szCs w:val="24"/>
        </w:rPr>
        <w:t> </w:t>
      </w:r>
      <w:r w:rsidRPr="00C41029">
        <w:rPr>
          <w:rFonts w:ascii="Times New Roman" w:hAnsi="Times New Roman" w:cs="Times New Roman"/>
          <w:sz w:val="24"/>
          <w:szCs w:val="24"/>
        </w:rPr>
        <w:t>2016</w:t>
      </w:r>
      <w:proofErr w:type="gramStart"/>
      <w:r w:rsidR="006B2111" w:rsidRPr="00C41029">
        <w:rPr>
          <w:rFonts w:ascii="Times New Roman" w:hAnsi="Times New Roman" w:cs="Times New Roman"/>
          <w:sz w:val="24"/>
          <w:szCs w:val="24"/>
        </w:rPr>
        <w:t>,</w:t>
      </w:r>
      <w:r w:rsidRPr="00C41029">
        <w:rPr>
          <w:rFonts w:ascii="Times New Roman" w:hAnsi="Times New Roman" w:cs="Times New Roman"/>
          <w:sz w:val="24"/>
          <w:szCs w:val="24"/>
        </w:rPr>
        <w:t>14</w:t>
      </w:r>
      <w:proofErr w:type="gramEnd"/>
      <w:r w:rsidRPr="00C41029">
        <w:rPr>
          <w:rFonts w:ascii="Times New Roman" w:eastAsia="宋体" w:hAnsi="Times New Roman" w:cs="Times New Roman"/>
          <w:sz w:val="24"/>
          <w:szCs w:val="24"/>
        </w:rPr>
        <w:t>(</w:t>
      </w:r>
      <w:r w:rsidRPr="00C41029">
        <w:rPr>
          <w:rFonts w:ascii="Times New Roman" w:hAnsi="Times New Roman" w:cs="Times New Roman"/>
          <w:sz w:val="24"/>
          <w:szCs w:val="24"/>
        </w:rPr>
        <w:t>1</w:t>
      </w:r>
      <w:r w:rsidRPr="00C41029">
        <w:rPr>
          <w:rFonts w:ascii="Times New Roman" w:eastAsia="宋体" w:hAnsi="Times New Roman" w:cs="Times New Roman"/>
          <w:sz w:val="24"/>
          <w:szCs w:val="24"/>
        </w:rPr>
        <w:t>):</w:t>
      </w:r>
      <w:r w:rsidRPr="00C41029">
        <w:rPr>
          <w:rFonts w:ascii="Times New Roman" w:hAnsi="Times New Roman" w:cs="Times New Roman"/>
          <w:sz w:val="24"/>
          <w:szCs w:val="24"/>
        </w:rPr>
        <w:t>179</w:t>
      </w:r>
      <w:r w:rsidRPr="00C41029">
        <w:rPr>
          <w:rFonts w:ascii="Times New Roman" w:eastAsia="宋体" w:hAnsi="Times New Roman" w:cs="Times New Roman"/>
          <w:sz w:val="24"/>
          <w:szCs w:val="24"/>
        </w:rPr>
        <w:t>.</w:t>
      </w:r>
    </w:p>
    <w:p w:rsidR="007A5BD9" w:rsidRPr="00E3081F" w:rsidRDefault="006F57AF" w:rsidP="00A21783">
      <w:pPr>
        <w:spacing w:after="0"/>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[54]</w:t>
      </w:r>
      <w:r w:rsidR="006B2111">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Sung J</w:t>
      </w:r>
      <w:r w:rsidR="006B2111">
        <w:rPr>
          <w:rFonts w:ascii="Times New Roman" w:eastAsia="宋体" w:hAnsi="Times New Roman" w:cs="Times New Roman" w:hint="eastAsia"/>
          <w:sz w:val="24"/>
          <w:szCs w:val="24"/>
        </w:rPr>
        <w:t xml:space="preserve"> </w:t>
      </w:r>
      <w:proofErr w:type="spellStart"/>
      <w:r w:rsidRPr="00E3081F">
        <w:rPr>
          <w:rFonts w:ascii="Times New Roman" w:eastAsia="宋体" w:hAnsi="Times New Roman" w:cs="Times New Roman"/>
          <w:sz w:val="24"/>
          <w:szCs w:val="24"/>
        </w:rPr>
        <w:t>J</w:t>
      </w:r>
      <w:proofErr w:type="spellEnd"/>
      <w:r w:rsidRPr="00E3081F">
        <w:rPr>
          <w:rFonts w:ascii="Times New Roman" w:eastAsia="宋体" w:hAnsi="Times New Roman" w:cs="Times New Roman"/>
          <w:sz w:val="24"/>
          <w:szCs w:val="24"/>
        </w:rPr>
        <w:t>, Chiu P</w:t>
      </w:r>
      <w:r w:rsidR="006B2111">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C, Chan F</w:t>
      </w:r>
      <w:r w:rsidR="006B2111">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K</w:t>
      </w:r>
      <w:r w:rsidR="006B2111">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 xml:space="preserve">L, </w:t>
      </w:r>
      <w:r w:rsidRPr="006B2111">
        <w:rPr>
          <w:rFonts w:ascii="Times New Roman" w:eastAsia="宋体" w:hAnsi="Times New Roman" w:cs="Times New Roman"/>
          <w:i/>
          <w:sz w:val="24"/>
          <w:szCs w:val="24"/>
        </w:rPr>
        <w:t>et al</w:t>
      </w:r>
      <w:r w:rsidR="006B2111">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Asia-Pacific working group consensus on non-variceal upper gastrointestinal bleeding: an update 2018[J].Gut</w:t>
      </w:r>
      <w:r w:rsidR="006B2111">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2018</w:t>
      </w:r>
      <w:r w:rsidR="006B2111">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67(10):1757-1768</w:t>
      </w:r>
      <w:r w:rsidR="006B2111">
        <w:rPr>
          <w:rFonts w:ascii="Times New Roman" w:eastAsia="宋体" w:hAnsi="Times New Roman" w:cs="Times New Roman" w:hint="eastAsia"/>
          <w:sz w:val="24"/>
          <w:szCs w:val="24"/>
        </w:rPr>
        <w:t>.</w:t>
      </w:r>
    </w:p>
    <w:p w:rsidR="007A5BD9" w:rsidRPr="00E3081F" w:rsidRDefault="006F57AF" w:rsidP="00A21783">
      <w:pPr>
        <w:spacing w:after="0"/>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[55]</w:t>
      </w:r>
      <w:r w:rsidR="006B2111">
        <w:rPr>
          <w:rFonts w:ascii="Times New Roman" w:eastAsia="宋体" w:hAnsi="Times New Roman" w:cs="Times New Roman" w:hint="eastAsia"/>
          <w:sz w:val="24"/>
          <w:szCs w:val="24"/>
        </w:rPr>
        <w:t xml:space="preserve"> </w:t>
      </w:r>
      <w:proofErr w:type="spellStart"/>
      <w:r w:rsidRPr="00E3081F">
        <w:rPr>
          <w:rFonts w:ascii="Times New Roman" w:eastAsia="宋体" w:hAnsi="Times New Roman" w:cs="Times New Roman"/>
          <w:sz w:val="24"/>
          <w:szCs w:val="24"/>
        </w:rPr>
        <w:t>Freedberg</w:t>
      </w:r>
      <w:proofErr w:type="spellEnd"/>
      <w:r w:rsidRPr="00E3081F">
        <w:rPr>
          <w:rFonts w:ascii="Times New Roman" w:eastAsia="宋体" w:hAnsi="Times New Roman" w:cs="Times New Roman"/>
          <w:sz w:val="24"/>
          <w:szCs w:val="24"/>
        </w:rPr>
        <w:t xml:space="preserve"> D</w:t>
      </w:r>
      <w:r w:rsidR="006B2111">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E, Kim L</w:t>
      </w:r>
      <w:r w:rsidR="006B2111">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S, Yang Y</w:t>
      </w:r>
      <w:r w:rsidR="006B2111">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 xml:space="preserve">X, </w:t>
      </w:r>
      <w:r w:rsidRPr="006B2111">
        <w:rPr>
          <w:rFonts w:ascii="Times New Roman" w:eastAsia="宋体" w:hAnsi="Times New Roman" w:cs="Times New Roman"/>
          <w:i/>
          <w:sz w:val="24"/>
          <w:szCs w:val="24"/>
        </w:rPr>
        <w:t>et al</w:t>
      </w:r>
      <w:r w:rsidRPr="00E3081F">
        <w:rPr>
          <w:rFonts w:ascii="Times New Roman" w:eastAsia="宋体" w:hAnsi="Times New Roman" w:cs="Times New Roman"/>
          <w:sz w:val="24"/>
          <w:szCs w:val="24"/>
        </w:rPr>
        <w:t>.</w:t>
      </w:r>
      <w:r w:rsidR="006B2111">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 xml:space="preserve">The Risks and Benefits of Long-term Use of Proton Pump Inhibitors: Expert Review and Best Practice Advice From the American Gastroenterological </w:t>
      </w:r>
      <w:proofErr w:type="gramStart"/>
      <w:r w:rsidRPr="00E3081F">
        <w:rPr>
          <w:rFonts w:ascii="Times New Roman" w:eastAsia="宋体" w:hAnsi="Times New Roman" w:cs="Times New Roman"/>
          <w:sz w:val="24"/>
          <w:szCs w:val="24"/>
        </w:rPr>
        <w:t>Association[</w:t>
      </w:r>
      <w:proofErr w:type="gramEnd"/>
      <w:r w:rsidRPr="00E3081F">
        <w:rPr>
          <w:rFonts w:ascii="Times New Roman" w:eastAsia="宋体" w:hAnsi="Times New Roman" w:cs="Times New Roman"/>
          <w:sz w:val="24"/>
          <w:szCs w:val="24"/>
        </w:rPr>
        <w:t>J].Gastroenterology</w:t>
      </w:r>
      <w:r w:rsidR="006B2111">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2017</w:t>
      </w:r>
      <w:r w:rsidR="006B2111">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152(4):706-715.</w:t>
      </w:r>
    </w:p>
    <w:p w:rsidR="006B2111" w:rsidRDefault="006F57AF" w:rsidP="00A21783">
      <w:pPr>
        <w:spacing w:after="0"/>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[56]</w:t>
      </w:r>
      <w:r w:rsidR="006B2111">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Johnson D</w:t>
      </w:r>
      <w:r w:rsidR="006B2111">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A, Katz P</w:t>
      </w:r>
      <w:r w:rsidR="006B2111">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O, Armstrong D,</w:t>
      </w:r>
      <w:r w:rsidR="006B2111" w:rsidRPr="006B2111">
        <w:rPr>
          <w:rFonts w:ascii="Times New Roman" w:eastAsia="宋体" w:hAnsi="Times New Roman" w:cs="Times New Roman" w:hint="eastAsia"/>
          <w:i/>
          <w:sz w:val="24"/>
          <w:szCs w:val="24"/>
        </w:rPr>
        <w:t xml:space="preserve"> </w:t>
      </w:r>
      <w:r w:rsidRPr="006B2111">
        <w:rPr>
          <w:rFonts w:ascii="Times New Roman" w:eastAsia="宋体" w:hAnsi="Times New Roman" w:cs="Times New Roman"/>
          <w:i/>
          <w:sz w:val="24"/>
          <w:szCs w:val="24"/>
        </w:rPr>
        <w:t>et al</w:t>
      </w:r>
      <w:r w:rsidRPr="00E3081F">
        <w:rPr>
          <w:rFonts w:ascii="Times New Roman" w:eastAsia="宋体" w:hAnsi="Times New Roman" w:cs="Times New Roman"/>
          <w:sz w:val="24"/>
          <w:szCs w:val="24"/>
        </w:rPr>
        <w:t xml:space="preserve">. The Safety of Appropriate Use of Over-the-Counter Proton Pump Inhibitors: An Evidence-Based Review and Delphi </w:t>
      </w:r>
      <w:proofErr w:type="gramStart"/>
      <w:r w:rsidRPr="00E3081F">
        <w:rPr>
          <w:rFonts w:ascii="Times New Roman" w:eastAsia="宋体" w:hAnsi="Times New Roman" w:cs="Times New Roman"/>
          <w:sz w:val="24"/>
          <w:szCs w:val="24"/>
        </w:rPr>
        <w:t>Consensus[</w:t>
      </w:r>
      <w:proofErr w:type="gramEnd"/>
      <w:r w:rsidRPr="00E3081F">
        <w:rPr>
          <w:rFonts w:ascii="Times New Roman" w:eastAsia="宋体" w:hAnsi="Times New Roman" w:cs="Times New Roman"/>
          <w:sz w:val="24"/>
          <w:szCs w:val="24"/>
        </w:rPr>
        <w:t>J].Drugs</w:t>
      </w:r>
      <w:r w:rsidR="006B2111">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2017</w:t>
      </w:r>
      <w:r w:rsidR="006B2111">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 xml:space="preserve">77(5):547-561. </w:t>
      </w:r>
    </w:p>
    <w:p w:rsidR="007A5BD9" w:rsidRPr="00E3081F" w:rsidRDefault="006F57AF" w:rsidP="00A21783">
      <w:pPr>
        <w:spacing w:after="0"/>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[57]</w:t>
      </w:r>
      <w:r w:rsidR="006B2111">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中国抗癌协会癌症康复与姑息治疗专业委员会</w:t>
      </w:r>
      <w:r w:rsidR="003C59CE">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CRPC</w:t>
      </w:r>
      <w:r w:rsidR="003C59CE">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w:t>
      </w:r>
      <w:r w:rsidRPr="00E3081F">
        <w:rPr>
          <w:rFonts w:ascii="Times New Roman" w:eastAsia="宋体" w:hAnsi="Times New Roman" w:cs="Times New Roman"/>
          <w:sz w:val="24"/>
          <w:szCs w:val="24"/>
        </w:rPr>
        <w:t>中国临床肿瘤学会抗肿瘤药物安全管理专家委员会</w:t>
      </w:r>
      <w:r w:rsidR="003C59CE">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ASMC</w:t>
      </w:r>
      <w:r w:rsidR="003C59CE">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 xml:space="preserve">. </w:t>
      </w:r>
      <w:r w:rsidRPr="00E3081F">
        <w:rPr>
          <w:rFonts w:ascii="Times New Roman" w:eastAsia="宋体" w:hAnsi="Times New Roman" w:cs="Times New Roman"/>
          <w:sz w:val="24"/>
          <w:szCs w:val="24"/>
        </w:rPr>
        <w:t>肿瘤治疗相关呕吐防治指南</w:t>
      </w:r>
      <w:r w:rsidR="003C59CE">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2014</w:t>
      </w:r>
      <w:r w:rsidRPr="00E3081F">
        <w:rPr>
          <w:rFonts w:ascii="Times New Roman" w:eastAsia="宋体" w:hAnsi="Times New Roman" w:cs="Times New Roman"/>
          <w:sz w:val="24"/>
          <w:szCs w:val="24"/>
        </w:rPr>
        <w:t>版</w:t>
      </w:r>
      <w:r w:rsidR="003C59CE">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 xml:space="preserve">[J]. </w:t>
      </w:r>
      <w:r w:rsidRPr="00E3081F">
        <w:rPr>
          <w:rFonts w:ascii="Times New Roman" w:eastAsia="宋体" w:hAnsi="Times New Roman" w:cs="Times New Roman"/>
          <w:sz w:val="24"/>
          <w:szCs w:val="24"/>
        </w:rPr>
        <w:t>临床肿瘤学杂志</w:t>
      </w:r>
      <w:r w:rsidR="003C59CE">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2014,19(3):</w:t>
      </w:r>
      <w:proofErr w:type="gramStart"/>
      <w:r w:rsidRPr="00E3081F">
        <w:rPr>
          <w:rFonts w:ascii="Times New Roman" w:eastAsia="宋体" w:hAnsi="Times New Roman" w:cs="Times New Roman"/>
          <w:sz w:val="24"/>
          <w:szCs w:val="24"/>
        </w:rPr>
        <w:t>263-273.</w:t>
      </w:r>
      <w:proofErr w:type="gramEnd"/>
    </w:p>
    <w:p w:rsidR="007A5BD9" w:rsidRPr="00E3081F" w:rsidRDefault="006F57AF" w:rsidP="00A21783">
      <w:pPr>
        <w:spacing w:after="0"/>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[58]</w:t>
      </w:r>
      <w:r w:rsidR="003C59CE">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Takeuchi H,</w:t>
      </w:r>
      <w:r w:rsidR="003C59CE">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Saeki T,</w:t>
      </w:r>
      <w:r w:rsidR="003C59CE">
        <w:rPr>
          <w:rFonts w:ascii="Times New Roman" w:eastAsia="宋体" w:hAnsi="Times New Roman" w:cs="Times New Roman" w:hint="eastAsia"/>
          <w:sz w:val="24"/>
          <w:szCs w:val="24"/>
        </w:rPr>
        <w:t xml:space="preserve"> </w:t>
      </w:r>
      <w:proofErr w:type="spellStart"/>
      <w:r w:rsidRPr="00E3081F">
        <w:rPr>
          <w:rFonts w:ascii="Times New Roman" w:eastAsia="宋体" w:hAnsi="Times New Roman" w:cs="Times New Roman"/>
          <w:sz w:val="24"/>
          <w:szCs w:val="24"/>
        </w:rPr>
        <w:t>Aiba</w:t>
      </w:r>
      <w:proofErr w:type="spellEnd"/>
      <w:r w:rsidRPr="00E3081F">
        <w:rPr>
          <w:rFonts w:ascii="Times New Roman" w:eastAsia="宋体" w:hAnsi="Times New Roman" w:cs="Times New Roman"/>
          <w:sz w:val="24"/>
          <w:szCs w:val="24"/>
        </w:rPr>
        <w:t xml:space="preserve"> </w:t>
      </w:r>
      <w:r w:rsidR="003C59CE">
        <w:rPr>
          <w:rFonts w:ascii="Times New Roman" w:eastAsia="宋体" w:hAnsi="Times New Roman" w:cs="Times New Roman" w:hint="eastAsia"/>
          <w:sz w:val="24"/>
          <w:szCs w:val="24"/>
        </w:rPr>
        <w:t>K</w:t>
      </w:r>
      <w:r w:rsidRPr="00E3081F">
        <w:rPr>
          <w:rFonts w:ascii="Times New Roman" w:eastAsia="宋体" w:hAnsi="Times New Roman" w:cs="Times New Roman"/>
          <w:sz w:val="24"/>
          <w:szCs w:val="24"/>
        </w:rPr>
        <w:t>,</w:t>
      </w:r>
      <w:r w:rsidR="003C59CE">
        <w:rPr>
          <w:rFonts w:ascii="Times New Roman" w:eastAsia="宋体" w:hAnsi="Times New Roman" w:cs="Times New Roman" w:hint="eastAsia"/>
          <w:sz w:val="24"/>
          <w:szCs w:val="24"/>
        </w:rPr>
        <w:t xml:space="preserve"> </w:t>
      </w:r>
      <w:r w:rsidRPr="003C59CE">
        <w:rPr>
          <w:rFonts w:ascii="Times New Roman" w:eastAsia="宋体" w:hAnsi="Times New Roman" w:cs="Times New Roman"/>
          <w:i/>
          <w:sz w:val="24"/>
          <w:szCs w:val="24"/>
        </w:rPr>
        <w:t>et al</w:t>
      </w:r>
      <w:r w:rsidRPr="00E3081F">
        <w:rPr>
          <w:rFonts w:ascii="Times New Roman" w:eastAsia="宋体" w:hAnsi="Times New Roman" w:cs="Times New Roman"/>
          <w:sz w:val="24"/>
          <w:szCs w:val="24"/>
        </w:rPr>
        <w:t>. Japanese Society of Clinical Oncology clinical practice guidelines</w:t>
      </w:r>
      <w:r w:rsidR="003C59CE">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 xml:space="preserve">2010 for </w:t>
      </w:r>
      <w:proofErr w:type="spellStart"/>
      <w:r w:rsidRPr="00E3081F">
        <w:rPr>
          <w:rFonts w:ascii="Times New Roman" w:eastAsia="宋体" w:hAnsi="Times New Roman" w:cs="Times New Roman"/>
          <w:sz w:val="24"/>
          <w:szCs w:val="24"/>
        </w:rPr>
        <w:t>antiemesis</w:t>
      </w:r>
      <w:proofErr w:type="spellEnd"/>
      <w:r w:rsidRPr="00E3081F">
        <w:rPr>
          <w:rFonts w:ascii="Times New Roman" w:eastAsia="宋体" w:hAnsi="Times New Roman" w:cs="Times New Roman"/>
          <w:sz w:val="24"/>
          <w:szCs w:val="24"/>
        </w:rPr>
        <w:t xml:space="preserve"> in oncology: executive </w:t>
      </w:r>
      <w:proofErr w:type="gramStart"/>
      <w:r w:rsidRPr="00E3081F">
        <w:rPr>
          <w:rFonts w:ascii="Times New Roman" w:eastAsia="宋体" w:hAnsi="Times New Roman" w:cs="Times New Roman"/>
          <w:sz w:val="24"/>
          <w:szCs w:val="24"/>
        </w:rPr>
        <w:t>summary[</w:t>
      </w:r>
      <w:proofErr w:type="gramEnd"/>
      <w:r w:rsidRPr="00E3081F">
        <w:rPr>
          <w:rFonts w:ascii="Times New Roman" w:eastAsia="宋体" w:hAnsi="Times New Roman" w:cs="Times New Roman"/>
          <w:sz w:val="24"/>
          <w:szCs w:val="24"/>
        </w:rPr>
        <w:t xml:space="preserve">J]. </w:t>
      </w:r>
      <w:proofErr w:type="spellStart"/>
      <w:r w:rsidRPr="00E3081F">
        <w:rPr>
          <w:rFonts w:ascii="Times New Roman" w:eastAsia="宋体" w:hAnsi="Times New Roman" w:cs="Times New Roman"/>
          <w:sz w:val="24"/>
          <w:szCs w:val="24"/>
        </w:rPr>
        <w:t>Int</w:t>
      </w:r>
      <w:proofErr w:type="spellEnd"/>
      <w:r w:rsidRPr="00E3081F">
        <w:rPr>
          <w:rFonts w:ascii="Times New Roman" w:eastAsia="宋体" w:hAnsi="Times New Roman" w:cs="Times New Roman"/>
          <w:sz w:val="24"/>
          <w:szCs w:val="24"/>
        </w:rPr>
        <w:t xml:space="preserve"> J </w:t>
      </w:r>
      <w:proofErr w:type="spellStart"/>
      <w:r w:rsidRPr="00E3081F">
        <w:rPr>
          <w:rFonts w:ascii="Times New Roman" w:eastAsia="宋体" w:hAnsi="Times New Roman" w:cs="Times New Roman"/>
          <w:sz w:val="24"/>
          <w:szCs w:val="24"/>
        </w:rPr>
        <w:t>Clin</w:t>
      </w:r>
      <w:proofErr w:type="spellEnd"/>
      <w:r w:rsidRPr="00E3081F">
        <w:rPr>
          <w:rFonts w:ascii="Times New Roman" w:eastAsia="宋体" w:hAnsi="Times New Roman" w:cs="Times New Roman"/>
          <w:sz w:val="24"/>
          <w:szCs w:val="24"/>
        </w:rPr>
        <w:t xml:space="preserve"> </w:t>
      </w:r>
      <w:proofErr w:type="spellStart"/>
      <w:r w:rsidRPr="00E3081F">
        <w:rPr>
          <w:rFonts w:ascii="Times New Roman" w:eastAsia="宋体" w:hAnsi="Times New Roman" w:cs="Times New Roman"/>
          <w:sz w:val="24"/>
          <w:szCs w:val="24"/>
        </w:rPr>
        <w:t>Oncol</w:t>
      </w:r>
      <w:proofErr w:type="spellEnd"/>
      <w:r w:rsidR="003C59CE">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2016</w:t>
      </w:r>
      <w:r w:rsidR="003C59CE">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 xml:space="preserve"> 21</w:t>
      </w:r>
      <w:r w:rsidR="003C59CE">
        <w:rPr>
          <w:rFonts w:ascii="Times New Roman" w:eastAsia="宋体" w:hAnsi="Times New Roman" w:cs="Times New Roman" w:hint="eastAsia"/>
          <w:sz w:val="24"/>
          <w:szCs w:val="24"/>
        </w:rPr>
        <w:t>(1)</w:t>
      </w:r>
      <w:r w:rsidRPr="00E3081F">
        <w:rPr>
          <w:rFonts w:ascii="Times New Roman" w:eastAsia="宋体" w:hAnsi="Times New Roman" w:cs="Times New Roman"/>
          <w:sz w:val="24"/>
          <w:szCs w:val="24"/>
        </w:rPr>
        <w:t>:1</w:t>
      </w:r>
      <w:r w:rsidR="003C59CE">
        <w:rPr>
          <w:rFonts w:ascii="Times New Roman" w:eastAsia="宋体" w:hAnsi="Times New Roman" w:cs="Times New Roman" w:hint="eastAsia"/>
          <w:sz w:val="24"/>
          <w:szCs w:val="24"/>
        </w:rPr>
        <w:t>-</w:t>
      </w:r>
      <w:r w:rsidRPr="00E3081F">
        <w:rPr>
          <w:rFonts w:ascii="Times New Roman" w:eastAsia="宋体" w:hAnsi="Times New Roman" w:cs="Times New Roman"/>
          <w:sz w:val="24"/>
          <w:szCs w:val="24"/>
        </w:rPr>
        <w:t>12.</w:t>
      </w:r>
    </w:p>
    <w:p w:rsidR="007A5BD9" w:rsidRPr="00E3081F" w:rsidRDefault="006F57AF" w:rsidP="00A21783">
      <w:pPr>
        <w:spacing w:after="0"/>
        <w:jc w:val="both"/>
        <w:rPr>
          <w:rFonts w:ascii="Times New Roman" w:eastAsia="宋体" w:hAnsi="Times New Roman" w:cs="Times New Roman"/>
          <w:sz w:val="24"/>
          <w:szCs w:val="24"/>
        </w:rPr>
      </w:pPr>
      <w:r w:rsidRPr="00E3081F">
        <w:rPr>
          <w:rFonts w:ascii="Times New Roman" w:eastAsia="宋体" w:hAnsi="Times New Roman" w:cs="Times New Roman"/>
          <w:sz w:val="24"/>
          <w:szCs w:val="24"/>
        </w:rPr>
        <w:t>[59]</w:t>
      </w:r>
      <w:r w:rsidR="003C59CE">
        <w:rPr>
          <w:rFonts w:ascii="Times New Roman" w:eastAsia="宋体" w:hAnsi="Times New Roman" w:cs="Times New Roman" w:hint="eastAsia"/>
          <w:sz w:val="24"/>
          <w:szCs w:val="24"/>
        </w:rPr>
        <w:t xml:space="preserve"> </w:t>
      </w:r>
      <w:r w:rsidR="00AE46B9" w:rsidRPr="00AE46B9">
        <w:rPr>
          <w:rFonts w:ascii="Times New Roman" w:eastAsia="宋体" w:hAnsi="Times New Roman" w:cs="Times New Roman"/>
          <w:sz w:val="24"/>
          <w:szCs w:val="24"/>
        </w:rPr>
        <w:t xml:space="preserve">National Comprehensive Cancer Network. </w:t>
      </w:r>
      <w:r w:rsidRPr="00E3081F">
        <w:rPr>
          <w:rFonts w:ascii="Times New Roman" w:eastAsia="宋体" w:hAnsi="Times New Roman" w:cs="Times New Roman"/>
          <w:sz w:val="24"/>
          <w:szCs w:val="24"/>
        </w:rPr>
        <w:t>NCCN Clinical Practice Guidelines in Oncology (NCCN Guidelines</w:t>
      </w:r>
      <w:r w:rsidRPr="003C59CE">
        <w:rPr>
          <w:rFonts w:ascii="Times New Roman" w:eastAsia="宋体" w:hAnsi="Times New Roman" w:cs="Times New Roman"/>
          <w:sz w:val="24"/>
          <w:szCs w:val="24"/>
          <w:vertAlign w:val="superscript"/>
        </w:rPr>
        <w:t>®</w:t>
      </w:r>
      <w:r w:rsidRPr="00E3081F">
        <w:rPr>
          <w:rFonts w:ascii="Times New Roman" w:eastAsia="宋体" w:hAnsi="Times New Roman" w:cs="Times New Roman"/>
          <w:sz w:val="24"/>
          <w:szCs w:val="24"/>
        </w:rPr>
        <w:t>)</w:t>
      </w:r>
      <w:r w:rsidR="00AE46B9">
        <w:rPr>
          <w:rFonts w:ascii="Times New Roman" w:eastAsia="宋体" w:hAnsi="Times New Roman" w:cs="Times New Roman" w:hint="eastAsia"/>
          <w:sz w:val="24"/>
          <w:szCs w:val="24"/>
        </w:rPr>
        <w:t xml:space="preserve"> </w:t>
      </w:r>
      <w:proofErr w:type="spellStart"/>
      <w:r w:rsidRPr="00E3081F">
        <w:rPr>
          <w:rFonts w:ascii="Times New Roman" w:eastAsia="宋体" w:hAnsi="Times New Roman" w:cs="Times New Roman"/>
          <w:sz w:val="24"/>
          <w:szCs w:val="24"/>
        </w:rPr>
        <w:t>Antiemesis</w:t>
      </w:r>
      <w:proofErr w:type="spellEnd"/>
      <w:r w:rsidR="00AE46B9">
        <w:rPr>
          <w:rFonts w:ascii="Times New Roman" w:eastAsia="宋体" w:hAnsi="Times New Roman" w:cs="Times New Roman" w:hint="eastAsia"/>
          <w:sz w:val="24"/>
          <w:szCs w:val="24"/>
        </w:rPr>
        <w:t xml:space="preserve"> (</w:t>
      </w:r>
      <w:r w:rsidR="00AE46B9" w:rsidRPr="00E3081F">
        <w:rPr>
          <w:rFonts w:ascii="Times New Roman" w:eastAsia="宋体" w:hAnsi="Times New Roman" w:cs="Times New Roman"/>
          <w:sz w:val="24"/>
          <w:szCs w:val="24"/>
        </w:rPr>
        <w:t xml:space="preserve">Version </w:t>
      </w:r>
      <w:proofErr w:type="gramStart"/>
      <w:r w:rsidR="00AE46B9" w:rsidRPr="00E3081F">
        <w:rPr>
          <w:rFonts w:ascii="Times New Roman" w:eastAsia="宋体" w:hAnsi="Times New Roman" w:cs="Times New Roman"/>
          <w:sz w:val="24"/>
          <w:szCs w:val="24"/>
        </w:rPr>
        <w:t>2</w:t>
      </w:r>
      <w:r w:rsidR="00AE46B9">
        <w:rPr>
          <w:rFonts w:ascii="Times New Roman" w:eastAsia="宋体" w:hAnsi="Times New Roman" w:cs="Times New Roman" w:hint="eastAsia"/>
          <w:sz w:val="24"/>
          <w:szCs w:val="24"/>
        </w:rPr>
        <w:t xml:space="preserve"> )[</w:t>
      </w:r>
      <w:proofErr w:type="gramEnd"/>
      <w:r w:rsidR="00F917A6">
        <w:rPr>
          <w:rFonts w:ascii="Times New Roman" w:eastAsia="宋体" w:hAnsi="Times New Roman" w:cs="Times New Roman" w:hint="eastAsia"/>
          <w:sz w:val="24"/>
          <w:szCs w:val="24"/>
        </w:rPr>
        <w:t>EB/OL</w:t>
      </w:r>
      <w:r w:rsidR="00AE46B9">
        <w:rPr>
          <w:rFonts w:ascii="Times New Roman" w:eastAsia="宋体" w:hAnsi="Times New Roman" w:cs="Times New Roman" w:hint="eastAsia"/>
          <w:sz w:val="24"/>
          <w:szCs w:val="24"/>
        </w:rPr>
        <w:t>]</w:t>
      </w:r>
      <w:r w:rsidR="00AE46B9" w:rsidRPr="00E3081F">
        <w:rPr>
          <w:rFonts w:ascii="Times New Roman" w:eastAsia="宋体" w:hAnsi="Times New Roman" w:cs="Times New Roman"/>
          <w:sz w:val="24"/>
          <w:szCs w:val="24"/>
        </w:rPr>
        <w:t>.</w:t>
      </w:r>
      <w:r w:rsidR="00F917A6" w:rsidRPr="00F917A6">
        <w:t xml:space="preserve"> </w:t>
      </w:r>
      <w:r w:rsidR="00F917A6" w:rsidRPr="00F917A6">
        <w:rPr>
          <w:rFonts w:ascii="Times New Roman" w:eastAsia="宋体" w:hAnsi="Times New Roman" w:cs="Times New Roman"/>
          <w:sz w:val="24"/>
          <w:szCs w:val="24"/>
        </w:rPr>
        <w:t>Fort Washington: NCCN,</w:t>
      </w:r>
      <w:r w:rsidR="00AE46B9">
        <w:rPr>
          <w:rFonts w:ascii="Times New Roman" w:eastAsia="宋体" w:hAnsi="Times New Roman" w:cs="Times New Roman" w:hint="eastAsia"/>
          <w:sz w:val="24"/>
          <w:szCs w:val="24"/>
        </w:rPr>
        <w:t xml:space="preserve"> </w:t>
      </w:r>
      <w:r w:rsidRPr="00E3081F">
        <w:rPr>
          <w:rFonts w:ascii="Times New Roman" w:eastAsia="宋体" w:hAnsi="Times New Roman" w:cs="Times New Roman"/>
          <w:sz w:val="24"/>
          <w:szCs w:val="24"/>
        </w:rPr>
        <w:t>[2018-04-30]</w:t>
      </w:r>
      <w:r w:rsidR="00F917A6" w:rsidRPr="00F917A6">
        <w:rPr>
          <w:rFonts w:ascii="Times New Roman" w:eastAsia="宋体" w:hAnsi="Times New Roman" w:cs="Times New Roman"/>
          <w:sz w:val="24"/>
          <w:szCs w:val="24"/>
        </w:rPr>
        <w:t>.</w:t>
      </w:r>
      <w:r w:rsidR="00F917A6" w:rsidRPr="00F917A6">
        <w:rPr>
          <w:rFonts w:ascii="Times New Roman" w:hAnsi="Times New Roman" w:cs="Times New Roman"/>
          <w:sz w:val="24"/>
          <w:szCs w:val="24"/>
        </w:rPr>
        <w:t xml:space="preserve"> http://www.nccn.org/professionals/physician_gls/f_guidelines.asp.</w:t>
      </w:r>
    </w:p>
    <w:p w:rsidR="007A5BD9" w:rsidRPr="00E3081F" w:rsidRDefault="007A5BD9" w:rsidP="00E3081F">
      <w:pPr>
        <w:spacing w:after="0" w:line="240" w:lineRule="auto"/>
        <w:contextualSpacing/>
        <w:rPr>
          <w:rFonts w:ascii="Times New Roman" w:eastAsia="宋体" w:hAnsi="Times New Roman" w:cs="Times New Roman"/>
          <w:sz w:val="24"/>
          <w:szCs w:val="24"/>
        </w:rPr>
      </w:pPr>
    </w:p>
    <w:p w:rsidR="007A5BD9" w:rsidRDefault="007A5BD9" w:rsidP="00E3081F">
      <w:pPr>
        <w:spacing w:after="0" w:line="240" w:lineRule="auto"/>
        <w:contextualSpacing/>
        <w:rPr>
          <w:rFonts w:ascii="Times New Roman" w:eastAsia="宋体" w:hAnsi="Times New Roman" w:cs="Times New Roman"/>
          <w:sz w:val="24"/>
          <w:szCs w:val="24"/>
        </w:rPr>
      </w:pPr>
    </w:p>
    <w:p w:rsidR="007D6A9D" w:rsidRDefault="007D6A9D" w:rsidP="00E3081F">
      <w:pPr>
        <w:spacing w:after="0" w:line="240" w:lineRule="auto"/>
        <w:contextualSpacing/>
        <w:rPr>
          <w:rFonts w:ascii="Times New Roman" w:eastAsia="宋体" w:hAnsi="Times New Roman" w:cs="Times New Roman"/>
          <w:sz w:val="24"/>
          <w:szCs w:val="24"/>
        </w:rPr>
      </w:pPr>
    </w:p>
    <w:p w:rsidR="007D6A9D" w:rsidRDefault="007D6A9D" w:rsidP="00E3081F">
      <w:pPr>
        <w:spacing w:after="0" w:line="240" w:lineRule="auto"/>
        <w:contextualSpacing/>
        <w:rPr>
          <w:rFonts w:ascii="Times New Roman" w:eastAsia="宋体" w:hAnsi="Times New Roman" w:cs="Times New Roman"/>
          <w:sz w:val="24"/>
          <w:szCs w:val="24"/>
        </w:rPr>
      </w:pPr>
    </w:p>
    <w:p w:rsidR="007D6A9D" w:rsidRDefault="007D6A9D" w:rsidP="00E3081F">
      <w:pPr>
        <w:spacing w:after="0" w:line="240" w:lineRule="auto"/>
        <w:contextualSpacing/>
        <w:rPr>
          <w:rFonts w:ascii="Times New Roman" w:eastAsia="宋体" w:hAnsi="Times New Roman" w:cs="Times New Roman"/>
          <w:sz w:val="24"/>
          <w:szCs w:val="24"/>
        </w:rPr>
      </w:pPr>
    </w:p>
    <w:p w:rsidR="007D6A9D" w:rsidRPr="00E3081F" w:rsidRDefault="007D6A9D" w:rsidP="00E3081F">
      <w:pPr>
        <w:spacing w:after="0" w:line="240" w:lineRule="auto"/>
        <w:contextualSpacing/>
        <w:rPr>
          <w:rFonts w:ascii="Times New Roman" w:eastAsia="宋体" w:hAnsi="Times New Roman" w:cs="Times New Roman"/>
          <w:sz w:val="24"/>
          <w:szCs w:val="24"/>
        </w:rPr>
      </w:pPr>
    </w:p>
    <w:p w:rsidR="007A5BD9" w:rsidRPr="00F917A6" w:rsidRDefault="006F57AF" w:rsidP="007D6A9D">
      <w:pPr>
        <w:spacing w:after="0" w:line="240" w:lineRule="auto"/>
        <w:rPr>
          <w:rFonts w:ascii="黑体" w:eastAsia="黑体" w:hAnsi="黑体" w:cs="Times New Roman"/>
          <w:sz w:val="24"/>
          <w:szCs w:val="24"/>
        </w:rPr>
      </w:pPr>
      <w:r w:rsidRPr="00F917A6">
        <w:rPr>
          <w:rFonts w:ascii="黑体" w:eastAsia="黑体" w:hAnsi="黑体" w:cs="Times New Roman"/>
          <w:sz w:val="24"/>
          <w:szCs w:val="24"/>
        </w:rPr>
        <w:lastRenderedPageBreak/>
        <w:t>附:参考说明书版本</w:t>
      </w:r>
    </w:p>
    <w:p w:rsidR="007A5BD9" w:rsidRPr="00E3081F" w:rsidRDefault="006F57AF" w:rsidP="007D6A9D">
      <w:pPr>
        <w:spacing w:after="0" w:line="240" w:lineRule="auto"/>
        <w:contextualSpacing/>
        <w:rPr>
          <w:rFonts w:ascii="Times New Roman" w:eastAsia="宋体" w:hAnsi="Times New Roman" w:cs="Times New Roman"/>
          <w:sz w:val="24"/>
          <w:szCs w:val="24"/>
        </w:rPr>
      </w:pPr>
      <w:r w:rsidRPr="00E3081F">
        <w:rPr>
          <w:rFonts w:ascii="Times New Roman" w:eastAsia="宋体" w:hAnsi="Times New Roman" w:cs="Times New Roman"/>
          <w:sz w:val="24"/>
          <w:szCs w:val="24"/>
        </w:rPr>
        <w:t>口服：</w:t>
      </w:r>
    </w:p>
    <w:p w:rsidR="007A5BD9" w:rsidRPr="00E3081F" w:rsidRDefault="006F57AF" w:rsidP="007D6A9D">
      <w:pPr>
        <w:spacing w:after="0" w:line="240" w:lineRule="auto"/>
        <w:contextualSpacing/>
        <w:rPr>
          <w:rFonts w:ascii="Times New Roman" w:eastAsia="宋体" w:hAnsi="Times New Roman" w:cs="Times New Roman"/>
          <w:sz w:val="24"/>
          <w:szCs w:val="24"/>
        </w:rPr>
      </w:pPr>
      <w:r w:rsidRPr="00E3081F">
        <w:rPr>
          <w:rFonts w:ascii="Times New Roman" w:eastAsia="宋体" w:hAnsi="Times New Roman" w:cs="Times New Roman"/>
          <w:sz w:val="24"/>
          <w:szCs w:val="24"/>
        </w:rPr>
        <w:t>奥美拉</w:t>
      </w:r>
      <w:proofErr w:type="gramStart"/>
      <w:r w:rsidRPr="00E3081F">
        <w:rPr>
          <w:rFonts w:ascii="Times New Roman" w:eastAsia="宋体" w:hAnsi="Times New Roman" w:cs="Times New Roman"/>
          <w:sz w:val="24"/>
          <w:szCs w:val="24"/>
        </w:rPr>
        <w:t>唑镁肠</w:t>
      </w:r>
      <w:proofErr w:type="gramEnd"/>
      <w:r w:rsidRPr="00E3081F">
        <w:rPr>
          <w:rFonts w:ascii="Times New Roman" w:eastAsia="宋体" w:hAnsi="Times New Roman" w:cs="Times New Roman"/>
          <w:sz w:val="24"/>
          <w:szCs w:val="24"/>
        </w:rPr>
        <w:t>溶片（商品名：</w:t>
      </w:r>
      <w:proofErr w:type="gramStart"/>
      <w:r w:rsidRPr="00E3081F">
        <w:rPr>
          <w:rFonts w:ascii="Times New Roman" w:eastAsia="宋体" w:hAnsi="Times New Roman" w:cs="Times New Roman"/>
          <w:sz w:val="24"/>
          <w:szCs w:val="24"/>
        </w:rPr>
        <w:t>洛</w:t>
      </w:r>
      <w:proofErr w:type="gramEnd"/>
      <w:r w:rsidRPr="00E3081F">
        <w:rPr>
          <w:rFonts w:ascii="Times New Roman" w:eastAsia="宋体" w:hAnsi="Times New Roman" w:cs="Times New Roman"/>
          <w:sz w:val="24"/>
          <w:szCs w:val="24"/>
        </w:rPr>
        <w:t>赛克</w:t>
      </w:r>
      <w:r w:rsidRPr="00E3081F">
        <w:rPr>
          <w:rFonts w:ascii="Times New Roman" w:eastAsia="宋体" w:hAnsi="Times New Roman" w:cs="Times New Roman"/>
          <w:sz w:val="24"/>
          <w:szCs w:val="24"/>
        </w:rPr>
        <w:t>MUPS</w:t>
      </w:r>
      <w:r w:rsidRPr="00E3081F">
        <w:rPr>
          <w:rFonts w:ascii="Times New Roman" w:eastAsia="宋体" w:hAnsi="Times New Roman" w:cs="Times New Roman"/>
          <w:sz w:val="24"/>
          <w:szCs w:val="24"/>
        </w:rPr>
        <w:t>），修改日期：</w:t>
      </w:r>
      <w:r w:rsidRPr="00E3081F">
        <w:rPr>
          <w:rFonts w:ascii="Times New Roman" w:eastAsia="宋体" w:hAnsi="Times New Roman" w:cs="Times New Roman"/>
          <w:sz w:val="24"/>
          <w:szCs w:val="24"/>
        </w:rPr>
        <w:t>2018</w:t>
      </w:r>
      <w:r w:rsidRPr="00E3081F">
        <w:rPr>
          <w:rFonts w:ascii="Times New Roman" w:eastAsia="宋体" w:hAnsi="Times New Roman" w:cs="Times New Roman"/>
          <w:sz w:val="24"/>
          <w:szCs w:val="24"/>
        </w:rPr>
        <w:t>年</w:t>
      </w:r>
      <w:r w:rsidRPr="00E3081F">
        <w:rPr>
          <w:rFonts w:ascii="Times New Roman" w:eastAsia="宋体" w:hAnsi="Times New Roman" w:cs="Times New Roman"/>
          <w:sz w:val="24"/>
          <w:szCs w:val="24"/>
        </w:rPr>
        <w:t>05</w:t>
      </w:r>
      <w:r w:rsidRPr="00E3081F">
        <w:rPr>
          <w:rFonts w:ascii="Times New Roman" w:eastAsia="宋体" w:hAnsi="Times New Roman" w:cs="Times New Roman"/>
          <w:sz w:val="24"/>
          <w:szCs w:val="24"/>
        </w:rPr>
        <w:t>月</w:t>
      </w:r>
      <w:r w:rsidRPr="00E3081F">
        <w:rPr>
          <w:rFonts w:ascii="Times New Roman" w:eastAsia="宋体" w:hAnsi="Times New Roman" w:cs="Times New Roman"/>
          <w:sz w:val="24"/>
          <w:szCs w:val="24"/>
        </w:rPr>
        <w:t>21</w:t>
      </w:r>
      <w:r w:rsidRPr="00E3081F">
        <w:rPr>
          <w:rFonts w:ascii="Times New Roman" w:eastAsia="宋体" w:hAnsi="Times New Roman" w:cs="Times New Roman"/>
          <w:sz w:val="24"/>
          <w:szCs w:val="24"/>
        </w:rPr>
        <w:t>日。</w:t>
      </w:r>
    </w:p>
    <w:p w:rsidR="007A5BD9" w:rsidRPr="00E3081F" w:rsidRDefault="006F57AF" w:rsidP="007D6A9D">
      <w:pPr>
        <w:spacing w:after="0" w:line="240" w:lineRule="auto"/>
        <w:contextualSpacing/>
        <w:rPr>
          <w:rFonts w:ascii="Times New Roman" w:eastAsia="宋体" w:hAnsi="Times New Roman" w:cs="Times New Roman"/>
          <w:sz w:val="24"/>
          <w:szCs w:val="24"/>
        </w:rPr>
      </w:pPr>
      <w:r w:rsidRPr="00E3081F">
        <w:rPr>
          <w:rFonts w:ascii="Times New Roman" w:eastAsia="宋体" w:hAnsi="Times New Roman" w:cs="Times New Roman"/>
          <w:sz w:val="24"/>
          <w:szCs w:val="24"/>
        </w:rPr>
        <w:t>兰索拉</w:t>
      </w:r>
      <w:proofErr w:type="gramStart"/>
      <w:r w:rsidRPr="00E3081F">
        <w:rPr>
          <w:rFonts w:ascii="Times New Roman" w:eastAsia="宋体" w:hAnsi="Times New Roman" w:cs="Times New Roman"/>
          <w:sz w:val="24"/>
          <w:szCs w:val="24"/>
        </w:rPr>
        <w:t>唑</w:t>
      </w:r>
      <w:proofErr w:type="gramEnd"/>
      <w:r w:rsidRPr="00E3081F">
        <w:rPr>
          <w:rFonts w:ascii="Times New Roman" w:eastAsia="宋体" w:hAnsi="Times New Roman" w:cs="Times New Roman"/>
          <w:sz w:val="24"/>
          <w:szCs w:val="24"/>
        </w:rPr>
        <w:t>肠溶胶囊（商品名：达克普隆），修改日期：</w:t>
      </w:r>
      <w:r w:rsidRPr="00E3081F">
        <w:rPr>
          <w:rFonts w:ascii="Times New Roman" w:eastAsia="宋体" w:hAnsi="Times New Roman" w:cs="Times New Roman"/>
          <w:sz w:val="24"/>
          <w:szCs w:val="24"/>
        </w:rPr>
        <w:t>2016</w:t>
      </w:r>
      <w:r w:rsidRPr="00E3081F">
        <w:rPr>
          <w:rFonts w:ascii="Times New Roman" w:eastAsia="宋体" w:hAnsi="Times New Roman" w:cs="Times New Roman"/>
          <w:sz w:val="24"/>
          <w:szCs w:val="24"/>
        </w:rPr>
        <w:t>年</w:t>
      </w:r>
      <w:r w:rsidRPr="00E3081F">
        <w:rPr>
          <w:rFonts w:ascii="Times New Roman" w:eastAsia="宋体" w:hAnsi="Times New Roman" w:cs="Times New Roman"/>
          <w:sz w:val="24"/>
          <w:szCs w:val="24"/>
        </w:rPr>
        <w:t>07</w:t>
      </w:r>
      <w:r w:rsidRPr="00E3081F">
        <w:rPr>
          <w:rFonts w:ascii="Times New Roman" w:eastAsia="宋体" w:hAnsi="Times New Roman" w:cs="Times New Roman"/>
          <w:sz w:val="24"/>
          <w:szCs w:val="24"/>
        </w:rPr>
        <w:t>月</w:t>
      </w:r>
      <w:r w:rsidRPr="00E3081F">
        <w:rPr>
          <w:rFonts w:ascii="Times New Roman" w:eastAsia="宋体" w:hAnsi="Times New Roman" w:cs="Times New Roman"/>
          <w:sz w:val="24"/>
          <w:szCs w:val="24"/>
        </w:rPr>
        <w:t>11</w:t>
      </w:r>
      <w:r w:rsidRPr="00E3081F">
        <w:rPr>
          <w:rFonts w:ascii="Times New Roman" w:eastAsia="宋体" w:hAnsi="Times New Roman" w:cs="Times New Roman"/>
          <w:sz w:val="24"/>
          <w:szCs w:val="24"/>
        </w:rPr>
        <w:t>日。</w:t>
      </w:r>
    </w:p>
    <w:p w:rsidR="007A5BD9" w:rsidRPr="00E3081F" w:rsidRDefault="006F57AF" w:rsidP="007D6A9D">
      <w:pPr>
        <w:spacing w:after="0" w:line="240" w:lineRule="auto"/>
        <w:contextualSpacing/>
        <w:rPr>
          <w:rFonts w:ascii="Times New Roman" w:eastAsia="宋体" w:hAnsi="Times New Roman" w:cs="Times New Roman"/>
          <w:sz w:val="24"/>
          <w:szCs w:val="24"/>
        </w:rPr>
      </w:pPr>
      <w:proofErr w:type="gramStart"/>
      <w:r w:rsidRPr="00E3081F">
        <w:rPr>
          <w:rFonts w:ascii="Times New Roman" w:eastAsia="宋体" w:hAnsi="Times New Roman" w:cs="Times New Roman"/>
          <w:sz w:val="24"/>
          <w:szCs w:val="24"/>
        </w:rPr>
        <w:t>泮</w:t>
      </w:r>
      <w:proofErr w:type="gramEnd"/>
      <w:r w:rsidRPr="00E3081F">
        <w:rPr>
          <w:rFonts w:ascii="Times New Roman" w:eastAsia="宋体" w:hAnsi="Times New Roman" w:cs="Times New Roman"/>
          <w:sz w:val="24"/>
          <w:szCs w:val="24"/>
        </w:rPr>
        <w:t>托拉</w:t>
      </w:r>
      <w:proofErr w:type="gramStart"/>
      <w:r w:rsidRPr="00E3081F">
        <w:rPr>
          <w:rFonts w:ascii="Times New Roman" w:eastAsia="宋体" w:hAnsi="Times New Roman" w:cs="Times New Roman"/>
          <w:sz w:val="24"/>
          <w:szCs w:val="24"/>
        </w:rPr>
        <w:t>唑钠肠</w:t>
      </w:r>
      <w:proofErr w:type="gramEnd"/>
      <w:r w:rsidRPr="00E3081F">
        <w:rPr>
          <w:rFonts w:ascii="Times New Roman" w:eastAsia="宋体" w:hAnsi="Times New Roman" w:cs="Times New Roman"/>
          <w:sz w:val="24"/>
          <w:szCs w:val="24"/>
        </w:rPr>
        <w:t>溶片（商品名：</w:t>
      </w:r>
      <w:proofErr w:type="gramStart"/>
      <w:r w:rsidRPr="00E3081F">
        <w:rPr>
          <w:rFonts w:ascii="Times New Roman" w:eastAsia="宋体" w:hAnsi="Times New Roman" w:cs="Times New Roman"/>
          <w:sz w:val="24"/>
          <w:szCs w:val="24"/>
        </w:rPr>
        <w:t>潘</w:t>
      </w:r>
      <w:proofErr w:type="gramEnd"/>
      <w:r w:rsidRPr="00E3081F">
        <w:rPr>
          <w:rFonts w:ascii="Times New Roman" w:eastAsia="宋体" w:hAnsi="Times New Roman" w:cs="Times New Roman"/>
          <w:sz w:val="24"/>
          <w:szCs w:val="24"/>
        </w:rPr>
        <w:t>妥</w:t>
      </w:r>
      <w:proofErr w:type="gramStart"/>
      <w:r w:rsidRPr="00E3081F">
        <w:rPr>
          <w:rFonts w:ascii="Times New Roman" w:eastAsia="宋体" w:hAnsi="Times New Roman" w:cs="Times New Roman"/>
          <w:sz w:val="24"/>
          <w:szCs w:val="24"/>
        </w:rPr>
        <w:t>洛</w:t>
      </w:r>
      <w:proofErr w:type="gramEnd"/>
      <w:r w:rsidRPr="00E3081F">
        <w:rPr>
          <w:rFonts w:ascii="Times New Roman" w:eastAsia="宋体" w:hAnsi="Times New Roman" w:cs="Times New Roman"/>
          <w:sz w:val="24"/>
          <w:szCs w:val="24"/>
        </w:rPr>
        <w:t>克），修改日期：</w:t>
      </w:r>
      <w:r w:rsidRPr="00E3081F">
        <w:rPr>
          <w:rFonts w:ascii="Times New Roman" w:eastAsia="宋体" w:hAnsi="Times New Roman" w:cs="Times New Roman"/>
          <w:sz w:val="24"/>
          <w:szCs w:val="24"/>
        </w:rPr>
        <w:t>2016</w:t>
      </w:r>
      <w:r w:rsidRPr="00E3081F">
        <w:rPr>
          <w:rFonts w:ascii="Times New Roman" w:eastAsia="宋体" w:hAnsi="Times New Roman" w:cs="Times New Roman"/>
          <w:sz w:val="24"/>
          <w:szCs w:val="24"/>
        </w:rPr>
        <w:t>年</w:t>
      </w:r>
      <w:r w:rsidRPr="00E3081F">
        <w:rPr>
          <w:rFonts w:ascii="Times New Roman" w:eastAsia="宋体" w:hAnsi="Times New Roman" w:cs="Times New Roman"/>
          <w:sz w:val="24"/>
          <w:szCs w:val="24"/>
        </w:rPr>
        <w:t>11</w:t>
      </w:r>
      <w:r w:rsidRPr="00E3081F">
        <w:rPr>
          <w:rFonts w:ascii="Times New Roman" w:eastAsia="宋体" w:hAnsi="Times New Roman" w:cs="Times New Roman"/>
          <w:sz w:val="24"/>
          <w:szCs w:val="24"/>
        </w:rPr>
        <w:t>月</w:t>
      </w:r>
      <w:r w:rsidRPr="00E3081F">
        <w:rPr>
          <w:rFonts w:ascii="Times New Roman" w:eastAsia="宋体" w:hAnsi="Times New Roman" w:cs="Times New Roman"/>
          <w:sz w:val="24"/>
          <w:szCs w:val="24"/>
        </w:rPr>
        <w:t>28</w:t>
      </w:r>
      <w:r w:rsidRPr="00E3081F">
        <w:rPr>
          <w:rFonts w:ascii="Times New Roman" w:eastAsia="宋体" w:hAnsi="Times New Roman" w:cs="Times New Roman"/>
          <w:sz w:val="24"/>
          <w:szCs w:val="24"/>
        </w:rPr>
        <w:t>日。</w:t>
      </w:r>
    </w:p>
    <w:p w:rsidR="007A5BD9" w:rsidRPr="00E3081F" w:rsidRDefault="006F57AF" w:rsidP="007D6A9D">
      <w:pPr>
        <w:spacing w:after="0" w:line="240" w:lineRule="auto"/>
        <w:contextualSpacing/>
        <w:rPr>
          <w:rFonts w:ascii="Times New Roman" w:eastAsia="宋体" w:hAnsi="Times New Roman" w:cs="Times New Roman"/>
          <w:sz w:val="24"/>
          <w:szCs w:val="24"/>
        </w:rPr>
      </w:pPr>
      <w:r w:rsidRPr="00E3081F">
        <w:rPr>
          <w:rFonts w:ascii="Times New Roman" w:eastAsia="宋体" w:hAnsi="Times New Roman" w:cs="Times New Roman"/>
          <w:sz w:val="24"/>
          <w:szCs w:val="24"/>
        </w:rPr>
        <w:t>雷贝拉</w:t>
      </w:r>
      <w:proofErr w:type="gramStart"/>
      <w:r w:rsidRPr="00E3081F">
        <w:rPr>
          <w:rFonts w:ascii="Times New Roman" w:eastAsia="宋体" w:hAnsi="Times New Roman" w:cs="Times New Roman"/>
          <w:sz w:val="24"/>
          <w:szCs w:val="24"/>
        </w:rPr>
        <w:t>唑钠肠</w:t>
      </w:r>
      <w:proofErr w:type="gramEnd"/>
      <w:r w:rsidRPr="00E3081F">
        <w:rPr>
          <w:rFonts w:ascii="Times New Roman" w:eastAsia="宋体" w:hAnsi="Times New Roman" w:cs="Times New Roman"/>
          <w:sz w:val="24"/>
          <w:szCs w:val="24"/>
        </w:rPr>
        <w:t>溶片（商品名：波利特），修改日期：</w:t>
      </w:r>
      <w:r w:rsidRPr="00E3081F">
        <w:rPr>
          <w:rFonts w:ascii="Times New Roman" w:eastAsia="宋体" w:hAnsi="Times New Roman" w:cs="Times New Roman"/>
          <w:sz w:val="24"/>
          <w:szCs w:val="24"/>
        </w:rPr>
        <w:t>2016</w:t>
      </w:r>
      <w:r w:rsidRPr="00E3081F">
        <w:rPr>
          <w:rFonts w:ascii="Times New Roman" w:eastAsia="宋体" w:hAnsi="Times New Roman" w:cs="Times New Roman"/>
          <w:sz w:val="24"/>
          <w:szCs w:val="24"/>
        </w:rPr>
        <w:t>年</w:t>
      </w:r>
      <w:r w:rsidRPr="00E3081F">
        <w:rPr>
          <w:rFonts w:ascii="Times New Roman" w:eastAsia="宋体" w:hAnsi="Times New Roman" w:cs="Times New Roman"/>
          <w:sz w:val="24"/>
          <w:szCs w:val="24"/>
        </w:rPr>
        <w:t>04</w:t>
      </w:r>
      <w:r w:rsidRPr="00E3081F">
        <w:rPr>
          <w:rFonts w:ascii="Times New Roman" w:eastAsia="宋体" w:hAnsi="Times New Roman" w:cs="Times New Roman"/>
          <w:sz w:val="24"/>
          <w:szCs w:val="24"/>
        </w:rPr>
        <w:t>月</w:t>
      </w:r>
      <w:r w:rsidRPr="00E3081F">
        <w:rPr>
          <w:rFonts w:ascii="Times New Roman" w:eastAsia="宋体" w:hAnsi="Times New Roman" w:cs="Times New Roman"/>
          <w:sz w:val="24"/>
          <w:szCs w:val="24"/>
        </w:rPr>
        <w:t>22</w:t>
      </w:r>
      <w:r w:rsidRPr="00E3081F">
        <w:rPr>
          <w:rFonts w:ascii="Times New Roman" w:eastAsia="宋体" w:hAnsi="Times New Roman" w:cs="Times New Roman"/>
          <w:sz w:val="24"/>
          <w:szCs w:val="24"/>
        </w:rPr>
        <w:t>日。</w:t>
      </w:r>
    </w:p>
    <w:p w:rsidR="007A5BD9" w:rsidRPr="00E3081F" w:rsidRDefault="006F57AF" w:rsidP="007D6A9D">
      <w:pPr>
        <w:spacing w:after="0" w:line="240" w:lineRule="auto"/>
        <w:contextualSpacing/>
        <w:rPr>
          <w:rFonts w:ascii="Times New Roman" w:eastAsia="宋体" w:hAnsi="Times New Roman" w:cs="Times New Roman"/>
          <w:sz w:val="24"/>
          <w:szCs w:val="24"/>
        </w:rPr>
      </w:pPr>
      <w:r w:rsidRPr="00E3081F">
        <w:rPr>
          <w:rFonts w:ascii="Times New Roman" w:eastAsia="宋体" w:hAnsi="Times New Roman" w:cs="Times New Roman"/>
          <w:sz w:val="24"/>
          <w:szCs w:val="24"/>
        </w:rPr>
        <w:t>艾司奥美拉</w:t>
      </w:r>
      <w:proofErr w:type="gramStart"/>
      <w:r w:rsidRPr="00E3081F">
        <w:rPr>
          <w:rFonts w:ascii="Times New Roman" w:eastAsia="宋体" w:hAnsi="Times New Roman" w:cs="Times New Roman"/>
          <w:sz w:val="24"/>
          <w:szCs w:val="24"/>
        </w:rPr>
        <w:t>唑镁肠</w:t>
      </w:r>
      <w:proofErr w:type="gramEnd"/>
      <w:r w:rsidRPr="00E3081F">
        <w:rPr>
          <w:rFonts w:ascii="Times New Roman" w:eastAsia="宋体" w:hAnsi="Times New Roman" w:cs="Times New Roman"/>
          <w:sz w:val="24"/>
          <w:szCs w:val="24"/>
        </w:rPr>
        <w:t>溶片（商品名：耐信），修改日期：</w:t>
      </w:r>
      <w:r w:rsidRPr="00E3081F">
        <w:rPr>
          <w:rFonts w:ascii="Times New Roman" w:eastAsia="宋体" w:hAnsi="Times New Roman" w:cs="Times New Roman"/>
          <w:sz w:val="24"/>
          <w:szCs w:val="24"/>
        </w:rPr>
        <w:t>2018</w:t>
      </w:r>
      <w:r w:rsidRPr="00E3081F">
        <w:rPr>
          <w:rFonts w:ascii="Times New Roman" w:eastAsia="宋体" w:hAnsi="Times New Roman" w:cs="Times New Roman"/>
          <w:sz w:val="24"/>
          <w:szCs w:val="24"/>
        </w:rPr>
        <w:t>年</w:t>
      </w:r>
      <w:r w:rsidRPr="00E3081F">
        <w:rPr>
          <w:rFonts w:ascii="Times New Roman" w:eastAsia="宋体" w:hAnsi="Times New Roman" w:cs="Times New Roman"/>
          <w:sz w:val="24"/>
          <w:szCs w:val="24"/>
        </w:rPr>
        <w:t>03</w:t>
      </w:r>
      <w:r w:rsidRPr="00E3081F">
        <w:rPr>
          <w:rFonts w:ascii="Times New Roman" w:eastAsia="宋体" w:hAnsi="Times New Roman" w:cs="Times New Roman"/>
          <w:sz w:val="24"/>
          <w:szCs w:val="24"/>
        </w:rPr>
        <w:t>月</w:t>
      </w:r>
      <w:r w:rsidRPr="00E3081F">
        <w:rPr>
          <w:rFonts w:ascii="Times New Roman" w:eastAsia="宋体" w:hAnsi="Times New Roman" w:cs="Times New Roman"/>
          <w:sz w:val="24"/>
          <w:szCs w:val="24"/>
        </w:rPr>
        <w:t>27</w:t>
      </w:r>
      <w:r w:rsidRPr="00E3081F">
        <w:rPr>
          <w:rFonts w:ascii="Times New Roman" w:eastAsia="宋体" w:hAnsi="Times New Roman" w:cs="Times New Roman"/>
          <w:sz w:val="24"/>
          <w:szCs w:val="24"/>
        </w:rPr>
        <w:t>日。</w:t>
      </w:r>
    </w:p>
    <w:p w:rsidR="007A5BD9" w:rsidRPr="00E3081F" w:rsidRDefault="006F57AF" w:rsidP="007D6A9D">
      <w:pPr>
        <w:spacing w:after="0" w:line="240" w:lineRule="auto"/>
        <w:contextualSpacing/>
        <w:rPr>
          <w:rFonts w:ascii="Times New Roman" w:eastAsia="宋体" w:hAnsi="Times New Roman" w:cs="Times New Roman"/>
          <w:sz w:val="24"/>
          <w:szCs w:val="24"/>
        </w:rPr>
      </w:pPr>
      <w:proofErr w:type="gramStart"/>
      <w:r w:rsidRPr="00E3081F">
        <w:rPr>
          <w:rFonts w:ascii="Times New Roman" w:eastAsia="宋体" w:hAnsi="Times New Roman" w:cs="Times New Roman"/>
          <w:sz w:val="24"/>
          <w:szCs w:val="24"/>
        </w:rPr>
        <w:t>艾普拉唑钠肠</w:t>
      </w:r>
      <w:proofErr w:type="gramEnd"/>
      <w:r w:rsidRPr="00E3081F">
        <w:rPr>
          <w:rFonts w:ascii="Times New Roman" w:eastAsia="宋体" w:hAnsi="Times New Roman" w:cs="Times New Roman"/>
          <w:sz w:val="24"/>
          <w:szCs w:val="24"/>
        </w:rPr>
        <w:t>溶片（商品名：</w:t>
      </w:r>
      <w:proofErr w:type="gramStart"/>
      <w:r w:rsidRPr="00E3081F">
        <w:rPr>
          <w:rFonts w:ascii="Times New Roman" w:eastAsia="宋体" w:hAnsi="Times New Roman" w:cs="Times New Roman"/>
          <w:sz w:val="24"/>
          <w:szCs w:val="24"/>
        </w:rPr>
        <w:t>壹丽安</w:t>
      </w:r>
      <w:proofErr w:type="gramEnd"/>
      <w:r w:rsidRPr="00E3081F">
        <w:rPr>
          <w:rFonts w:ascii="Times New Roman" w:eastAsia="宋体" w:hAnsi="Times New Roman" w:cs="Times New Roman"/>
          <w:sz w:val="24"/>
          <w:szCs w:val="24"/>
        </w:rPr>
        <w:t>），修改日期：</w:t>
      </w:r>
      <w:r w:rsidRPr="00E3081F">
        <w:rPr>
          <w:rFonts w:ascii="Times New Roman" w:eastAsia="宋体" w:hAnsi="Times New Roman" w:cs="Times New Roman"/>
          <w:sz w:val="24"/>
          <w:szCs w:val="24"/>
        </w:rPr>
        <w:t>2014</w:t>
      </w:r>
      <w:r w:rsidRPr="00E3081F">
        <w:rPr>
          <w:rFonts w:ascii="Times New Roman" w:eastAsia="宋体" w:hAnsi="Times New Roman" w:cs="Times New Roman"/>
          <w:sz w:val="24"/>
          <w:szCs w:val="24"/>
        </w:rPr>
        <w:t>年</w:t>
      </w:r>
      <w:r w:rsidRPr="00E3081F">
        <w:rPr>
          <w:rFonts w:ascii="Times New Roman" w:eastAsia="宋体" w:hAnsi="Times New Roman" w:cs="Times New Roman"/>
          <w:sz w:val="24"/>
          <w:szCs w:val="24"/>
        </w:rPr>
        <w:t>01</w:t>
      </w:r>
      <w:r w:rsidRPr="00E3081F">
        <w:rPr>
          <w:rFonts w:ascii="Times New Roman" w:eastAsia="宋体" w:hAnsi="Times New Roman" w:cs="Times New Roman"/>
          <w:sz w:val="24"/>
          <w:szCs w:val="24"/>
        </w:rPr>
        <w:t>月</w:t>
      </w:r>
      <w:r w:rsidRPr="00E3081F">
        <w:rPr>
          <w:rFonts w:ascii="Times New Roman" w:eastAsia="宋体" w:hAnsi="Times New Roman" w:cs="Times New Roman"/>
          <w:sz w:val="24"/>
          <w:szCs w:val="24"/>
        </w:rPr>
        <w:t>15</w:t>
      </w:r>
      <w:r w:rsidRPr="00E3081F">
        <w:rPr>
          <w:rFonts w:ascii="Times New Roman" w:eastAsia="宋体" w:hAnsi="Times New Roman" w:cs="Times New Roman"/>
          <w:sz w:val="24"/>
          <w:szCs w:val="24"/>
        </w:rPr>
        <w:t>日。</w:t>
      </w:r>
    </w:p>
    <w:p w:rsidR="007A5BD9" w:rsidRPr="00E3081F" w:rsidRDefault="006F57AF" w:rsidP="007D6A9D">
      <w:pPr>
        <w:spacing w:after="0" w:line="240" w:lineRule="auto"/>
        <w:contextualSpacing/>
        <w:rPr>
          <w:rFonts w:ascii="Times New Roman" w:eastAsia="宋体" w:hAnsi="Times New Roman" w:cs="Times New Roman"/>
          <w:sz w:val="24"/>
          <w:szCs w:val="24"/>
        </w:rPr>
      </w:pPr>
      <w:r w:rsidRPr="00E3081F">
        <w:rPr>
          <w:rFonts w:ascii="Times New Roman" w:eastAsia="宋体" w:hAnsi="Times New Roman" w:cs="Times New Roman"/>
          <w:sz w:val="24"/>
          <w:szCs w:val="24"/>
        </w:rPr>
        <w:t>针剂：</w:t>
      </w:r>
    </w:p>
    <w:p w:rsidR="007A5BD9" w:rsidRPr="00E3081F" w:rsidRDefault="006F57AF" w:rsidP="007D6A9D">
      <w:pPr>
        <w:spacing w:after="0" w:line="240" w:lineRule="auto"/>
        <w:contextualSpacing/>
        <w:rPr>
          <w:rFonts w:ascii="Times New Roman" w:eastAsia="宋体" w:hAnsi="Times New Roman" w:cs="Times New Roman"/>
          <w:sz w:val="24"/>
          <w:szCs w:val="24"/>
        </w:rPr>
      </w:pPr>
      <w:r w:rsidRPr="00E3081F">
        <w:rPr>
          <w:rFonts w:ascii="Times New Roman" w:eastAsia="宋体" w:hAnsi="Times New Roman" w:cs="Times New Roman"/>
          <w:sz w:val="24"/>
          <w:szCs w:val="24"/>
        </w:rPr>
        <w:t>注射用奥美拉</w:t>
      </w:r>
      <w:proofErr w:type="gramStart"/>
      <w:r w:rsidRPr="00E3081F">
        <w:rPr>
          <w:rFonts w:ascii="Times New Roman" w:eastAsia="宋体" w:hAnsi="Times New Roman" w:cs="Times New Roman"/>
          <w:sz w:val="24"/>
          <w:szCs w:val="24"/>
        </w:rPr>
        <w:t>唑</w:t>
      </w:r>
      <w:proofErr w:type="gramEnd"/>
      <w:r w:rsidRPr="00E3081F">
        <w:rPr>
          <w:rFonts w:ascii="Times New Roman" w:eastAsia="宋体" w:hAnsi="Times New Roman" w:cs="Times New Roman"/>
          <w:sz w:val="24"/>
          <w:szCs w:val="24"/>
        </w:rPr>
        <w:t>钠（供静脉滴注</w:t>
      </w:r>
      <w:r w:rsidR="00F917A6">
        <w:rPr>
          <w:rFonts w:ascii="Times New Roman" w:eastAsia="宋体" w:hAnsi="Times New Roman" w:cs="Times New Roman" w:hint="eastAsia"/>
          <w:sz w:val="24"/>
          <w:szCs w:val="24"/>
        </w:rPr>
        <w:t>，商品名：</w:t>
      </w:r>
      <w:r w:rsidRPr="00E3081F">
        <w:rPr>
          <w:rFonts w:ascii="Times New Roman" w:eastAsia="宋体" w:hAnsi="Times New Roman" w:cs="Times New Roman"/>
          <w:sz w:val="24"/>
          <w:szCs w:val="24"/>
        </w:rPr>
        <w:t>洛赛克），修改日期：</w:t>
      </w:r>
      <w:r w:rsidRPr="00E3081F">
        <w:rPr>
          <w:rFonts w:ascii="Times New Roman" w:eastAsia="宋体" w:hAnsi="Times New Roman" w:cs="Times New Roman"/>
          <w:sz w:val="24"/>
          <w:szCs w:val="24"/>
        </w:rPr>
        <w:t>2015</w:t>
      </w:r>
      <w:r w:rsidRPr="00E3081F">
        <w:rPr>
          <w:rFonts w:ascii="Times New Roman" w:eastAsia="宋体" w:hAnsi="Times New Roman" w:cs="Times New Roman"/>
          <w:sz w:val="24"/>
          <w:szCs w:val="24"/>
        </w:rPr>
        <w:t>年</w:t>
      </w:r>
      <w:r w:rsidRPr="00E3081F">
        <w:rPr>
          <w:rFonts w:ascii="Times New Roman" w:eastAsia="宋体" w:hAnsi="Times New Roman" w:cs="Times New Roman"/>
          <w:sz w:val="24"/>
          <w:szCs w:val="24"/>
        </w:rPr>
        <w:t>12</w:t>
      </w:r>
      <w:r w:rsidRPr="00E3081F">
        <w:rPr>
          <w:rFonts w:ascii="Times New Roman" w:eastAsia="宋体" w:hAnsi="Times New Roman" w:cs="Times New Roman"/>
          <w:sz w:val="24"/>
          <w:szCs w:val="24"/>
        </w:rPr>
        <w:t>月</w:t>
      </w:r>
      <w:r w:rsidRPr="00E3081F">
        <w:rPr>
          <w:rFonts w:ascii="Times New Roman" w:eastAsia="宋体" w:hAnsi="Times New Roman" w:cs="Times New Roman"/>
          <w:sz w:val="24"/>
          <w:szCs w:val="24"/>
        </w:rPr>
        <w:t>01</w:t>
      </w:r>
      <w:r w:rsidRPr="00E3081F">
        <w:rPr>
          <w:rFonts w:ascii="Times New Roman" w:eastAsia="宋体" w:hAnsi="Times New Roman" w:cs="Times New Roman"/>
          <w:sz w:val="24"/>
          <w:szCs w:val="24"/>
        </w:rPr>
        <w:t>日。</w:t>
      </w:r>
    </w:p>
    <w:p w:rsidR="007A5BD9" w:rsidRPr="00E3081F" w:rsidRDefault="006F57AF" w:rsidP="007D6A9D">
      <w:pPr>
        <w:spacing w:after="0" w:line="240" w:lineRule="auto"/>
        <w:contextualSpacing/>
        <w:rPr>
          <w:rFonts w:ascii="Times New Roman" w:eastAsia="宋体" w:hAnsi="Times New Roman" w:cs="Times New Roman"/>
          <w:sz w:val="24"/>
          <w:szCs w:val="24"/>
        </w:rPr>
      </w:pPr>
      <w:r w:rsidRPr="00E3081F">
        <w:rPr>
          <w:rFonts w:ascii="Times New Roman" w:eastAsia="宋体" w:hAnsi="Times New Roman" w:cs="Times New Roman"/>
          <w:sz w:val="24"/>
          <w:szCs w:val="24"/>
        </w:rPr>
        <w:t>注射用兰索拉</w:t>
      </w:r>
      <w:proofErr w:type="gramStart"/>
      <w:r w:rsidRPr="00E3081F">
        <w:rPr>
          <w:rFonts w:ascii="Times New Roman" w:eastAsia="宋体" w:hAnsi="Times New Roman" w:cs="Times New Roman"/>
          <w:sz w:val="24"/>
          <w:szCs w:val="24"/>
        </w:rPr>
        <w:t>唑</w:t>
      </w:r>
      <w:proofErr w:type="gramEnd"/>
      <w:r w:rsidRPr="00E3081F">
        <w:rPr>
          <w:rFonts w:ascii="Times New Roman" w:eastAsia="宋体" w:hAnsi="Times New Roman" w:cs="Times New Roman"/>
          <w:sz w:val="24"/>
          <w:szCs w:val="24"/>
        </w:rPr>
        <w:t>（企业：山东罗欣），修改日期：</w:t>
      </w:r>
      <w:r w:rsidRPr="00E3081F">
        <w:rPr>
          <w:rFonts w:ascii="Times New Roman" w:eastAsia="宋体" w:hAnsi="Times New Roman" w:cs="Times New Roman"/>
          <w:sz w:val="24"/>
          <w:szCs w:val="24"/>
        </w:rPr>
        <w:t>2015</w:t>
      </w:r>
      <w:r w:rsidRPr="00E3081F">
        <w:rPr>
          <w:rFonts w:ascii="Times New Roman" w:eastAsia="宋体" w:hAnsi="Times New Roman" w:cs="Times New Roman"/>
          <w:sz w:val="24"/>
          <w:szCs w:val="24"/>
        </w:rPr>
        <w:t>年</w:t>
      </w:r>
      <w:r w:rsidRPr="00E3081F">
        <w:rPr>
          <w:rFonts w:ascii="Times New Roman" w:eastAsia="宋体" w:hAnsi="Times New Roman" w:cs="Times New Roman"/>
          <w:sz w:val="24"/>
          <w:szCs w:val="24"/>
        </w:rPr>
        <w:t>12</w:t>
      </w:r>
      <w:r w:rsidRPr="00E3081F">
        <w:rPr>
          <w:rFonts w:ascii="Times New Roman" w:eastAsia="宋体" w:hAnsi="Times New Roman" w:cs="Times New Roman"/>
          <w:sz w:val="24"/>
          <w:szCs w:val="24"/>
        </w:rPr>
        <w:t>月</w:t>
      </w:r>
      <w:r w:rsidRPr="00E3081F">
        <w:rPr>
          <w:rFonts w:ascii="Times New Roman" w:eastAsia="宋体" w:hAnsi="Times New Roman" w:cs="Times New Roman"/>
          <w:sz w:val="24"/>
          <w:szCs w:val="24"/>
        </w:rPr>
        <w:t>11</w:t>
      </w:r>
      <w:r w:rsidRPr="00E3081F">
        <w:rPr>
          <w:rFonts w:ascii="Times New Roman" w:eastAsia="宋体" w:hAnsi="Times New Roman" w:cs="Times New Roman"/>
          <w:sz w:val="24"/>
          <w:szCs w:val="24"/>
        </w:rPr>
        <w:t>日。</w:t>
      </w:r>
    </w:p>
    <w:p w:rsidR="007A5BD9" w:rsidRPr="00E3081F" w:rsidRDefault="006F57AF" w:rsidP="007D6A9D">
      <w:pPr>
        <w:spacing w:after="0" w:line="240" w:lineRule="auto"/>
        <w:contextualSpacing/>
        <w:rPr>
          <w:rFonts w:ascii="Times New Roman" w:eastAsia="宋体" w:hAnsi="Times New Roman" w:cs="Times New Roman"/>
          <w:sz w:val="24"/>
          <w:szCs w:val="24"/>
        </w:rPr>
      </w:pPr>
      <w:r w:rsidRPr="00E3081F">
        <w:rPr>
          <w:rFonts w:ascii="Times New Roman" w:eastAsia="宋体" w:hAnsi="Times New Roman" w:cs="Times New Roman"/>
          <w:sz w:val="24"/>
          <w:szCs w:val="24"/>
        </w:rPr>
        <w:t>注射用</w:t>
      </w:r>
      <w:proofErr w:type="gramStart"/>
      <w:r w:rsidRPr="00E3081F">
        <w:rPr>
          <w:rFonts w:ascii="Times New Roman" w:eastAsia="宋体" w:hAnsi="Times New Roman" w:cs="Times New Roman"/>
          <w:sz w:val="24"/>
          <w:szCs w:val="24"/>
        </w:rPr>
        <w:t>泮</w:t>
      </w:r>
      <w:proofErr w:type="gramEnd"/>
      <w:r w:rsidRPr="00E3081F">
        <w:rPr>
          <w:rFonts w:ascii="Times New Roman" w:eastAsia="宋体" w:hAnsi="Times New Roman" w:cs="Times New Roman"/>
          <w:sz w:val="24"/>
          <w:szCs w:val="24"/>
        </w:rPr>
        <w:t>托拉</w:t>
      </w:r>
      <w:proofErr w:type="gramStart"/>
      <w:r w:rsidRPr="00E3081F">
        <w:rPr>
          <w:rFonts w:ascii="Times New Roman" w:eastAsia="宋体" w:hAnsi="Times New Roman" w:cs="Times New Roman"/>
          <w:sz w:val="24"/>
          <w:szCs w:val="24"/>
        </w:rPr>
        <w:t>唑</w:t>
      </w:r>
      <w:proofErr w:type="gramEnd"/>
      <w:r w:rsidRPr="00E3081F">
        <w:rPr>
          <w:rFonts w:ascii="Times New Roman" w:eastAsia="宋体" w:hAnsi="Times New Roman" w:cs="Times New Roman"/>
          <w:sz w:val="24"/>
          <w:szCs w:val="24"/>
        </w:rPr>
        <w:t>钠（商品名：</w:t>
      </w:r>
      <w:proofErr w:type="gramStart"/>
      <w:r w:rsidRPr="00E3081F">
        <w:rPr>
          <w:rFonts w:ascii="Times New Roman" w:eastAsia="宋体" w:hAnsi="Times New Roman" w:cs="Times New Roman"/>
          <w:sz w:val="24"/>
          <w:szCs w:val="24"/>
        </w:rPr>
        <w:t>潘</w:t>
      </w:r>
      <w:proofErr w:type="gramEnd"/>
      <w:r w:rsidRPr="00E3081F">
        <w:rPr>
          <w:rFonts w:ascii="Times New Roman" w:eastAsia="宋体" w:hAnsi="Times New Roman" w:cs="Times New Roman"/>
          <w:sz w:val="24"/>
          <w:szCs w:val="24"/>
        </w:rPr>
        <w:t>妥</w:t>
      </w:r>
      <w:proofErr w:type="gramStart"/>
      <w:r w:rsidRPr="00E3081F">
        <w:rPr>
          <w:rFonts w:ascii="Times New Roman" w:eastAsia="宋体" w:hAnsi="Times New Roman" w:cs="Times New Roman"/>
          <w:sz w:val="24"/>
          <w:szCs w:val="24"/>
        </w:rPr>
        <w:t>洛</w:t>
      </w:r>
      <w:proofErr w:type="gramEnd"/>
      <w:r w:rsidRPr="00E3081F">
        <w:rPr>
          <w:rFonts w:ascii="Times New Roman" w:eastAsia="宋体" w:hAnsi="Times New Roman" w:cs="Times New Roman"/>
          <w:sz w:val="24"/>
          <w:szCs w:val="24"/>
        </w:rPr>
        <w:t>克），修改日期：</w:t>
      </w:r>
      <w:r w:rsidRPr="00E3081F">
        <w:rPr>
          <w:rFonts w:ascii="Times New Roman" w:eastAsia="宋体" w:hAnsi="Times New Roman" w:cs="Times New Roman"/>
          <w:sz w:val="24"/>
          <w:szCs w:val="24"/>
        </w:rPr>
        <w:t>2015</w:t>
      </w:r>
      <w:r w:rsidRPr="00E3081F">
        <w:rPr>
          <w:rFonts w:ascii="Times New Roman" w:eastAsia="宋体" w:hAnsi="Times New Roman" w:cs="Times New Roman"/>
          <w:sz w:val="24"/>
          <w:szCs w:val="24"/>
        </w:rPr>
        <w:t>年</w:t>
      </w:r>
      <w:r w:rsidRPr="00E3081F">
        <w:rPr>
          <w:rFonts w:ascii="Times New Roman" w:eastAsia="宋体" w:hAnsi="Times New Roman" w:cs="Times New Roman"/>
          <w:sz w:val="24"/>
          <w:szCs w:val="24"/>
        </w:rPr>
        <w:t>09</w:t>
      </w:r>
      <w:r w:rsidRPr="00E3081F">
        <w:rPr>
          <w:rFonts w:ascii="Times New Roman" w:eastAsia="宋体" w:hAnsi="Times New Roman" w:cs="Times New Roman"/>
          <w:sz w:val="24"/>
          <w:szCs w:val="24"/>
        </w:rPr>
        <w:t>月</w:t>
      </w:r>
      <w:r w:rsidRPr="00E3081F">
        <w:rPr>
          <w:rFonts w:ascii="Times New Roman" w:eastAsia="宋体" w:hAnsi="Times New Roman" w:cs="Times New Roman"/>
          <w:sz w:val="24"/>
          <w:szCs w:val="24"/>
        </w:rPr>
        <w:t>06</w:t>
      </w:r>
      <w:r w:rsidRPr="00E3081F">
        <w:rPr>
          <w:rFonts w:ascii="Times New Roman" w:eastAsia="宋体" w:hAnsi="Times New Roman" w:cs="Times New Roman"/>
          <w:sz w:val="24"/>
          <w:szCs w:val="24"/>
        </w:rPr>
        <w:t>日。</w:t>
      </w:r>
    </w:p>
    <w:p w:rsidR="007A5BD9" w:rsidRPr="00E3081F" w:rsidRDefault="006F57AF" w:rsidP="007D6A9D">
      <w:pPr>
        <w:spacing w:after="0" w:line="240" w:lineRule="auto"/>
        <w:contextualSpacing/>
        <w:rPr>
          <w:rFonts w:ascii="Times New Roman" w:eastAsia="宋体" w:hAnsi="Times New Roman" w:cs="Times New Roman"/>
          <w:sz w:val="24"/>
          <w:szCs w:val="24"/>
        </w:rPr>
      </w:pPr>
      <w:r w:rsidRPr="00E3081F">
        <w:rPr>
          <w:rFonts w:ascii="Times New Roman" w:eastAsia="宋体" w:hAnsi="Times New Roman" w:cs="Times New Roman"/>
          <w:sz w:val="24"/>
          <w:szCs w:val="24"/>
        </w:rPr>
        <w:t>注射用雷贝拉</w:t>
      </w:r>
      <w:proofErr w:type="gramStart"/>
      <w:r w:rsidRPr="00E3081F">
        <w:rPr>
          <w:rFonts w:ascii="Times New Roman" w:eastAsia="宋体" w:hAnsi="Times New Roman" w:cs="Times New Roman"/>
          <w:sz w:val="24"/>
          <w:szCs w:val="24"/>
        </w:rPr>
        <w:t>唑</w:t>
      </w:r>
      <w:proofErr w:type="gramEnd"/>
      <w:r w:rsidRPr="00E3081F">
        <w:rPr>
          <w:rFonts w:ascii="Times New Roman" w:eastAsia="宋体" w:hAnsi="Times New Roman" w:cs="Times New Roman"/>
          <w:sz w:val="24"/>
          <w:szCs w:val="24"/>
        </w:rPr>
        <w:t>钠（企业：山东罗欣），修改日期：</w:t>
      </w:r>
      <w:r w:rsidRPr="00E3081F">
        <w:rPr>
          <w:rFonts w:ascii="Times New Roman" w:eastAsia="宋体" w:hAnsi="Times New Roman" w:cs="Times New Roman"/>
          <w:sz w:val="24"/>
          <w:szCs w:val="24"/>
        </w:rPr>
        <w:t>2015</w:t>
      </w:r>
      <w:r w:rsidRPr="00E3081F">
        <w:rPr>
          <w:rFonts w:ascii="Times New Roman" w:eastAsia="宋体" w:hAnsi="Times New Roman" w:cs="Times New Roman"/>
          <w:sz w:val="24"/>
          <w:szCs w:val="24"/>
        </w:rPr>
        <w:t>年</w:t>
      </w:r>
      <w:r w:rsidRPr="00E3081F">
        <w:rPr>
          <w:rFonts w:ascii="Times New Roman" w:eastAsia="宋体" w:hAnsi="Times New Roman" w:cs="Times New Roman"/>
          <w:sz w:val="24"/>
          <w:szCs w:val="24"/>
        </w:rPr>
        <w:t>06</w:t>
      </w:r>
      <w:r w:rsidRPr="00E3081F">
        <w:rPr>
          <w:rFonts w:ascii="Times New Roman" w:eastAsia="宋体" w:hAnsi="Times New Roman" w:cs="Times New Roman"/>
          <w:sz w:val="24"/>
          <w:szCs w:val="24"/>
        </w:rPr>
        <w:t>月</w:t>
      </w:r>
      <w:r w:rsidRPr="00E3081F">
        <w:rPr>
          <w:rFonts w:ascii="Times New Roman" w:eastAsia="宋体" w:hAnsi="Times New Roman" w:cs="Times New Roman"/>
          <w:sz w:val="24"/>
          <w:szCs w:val="24"/>
        </w:rPr>
        <w:t>08</w:t>
      </w:r>
      <w:r w:rsidRPr="00E3081F">
        <w:rPr>
          <w:rFonts w:ascii="Times New Roman" w:eastAsia="宋体" w:hAnsi="Times New Roman" w:cs="Times New Roman"/>
          <w:sz w:val="24"/>
          <w:szCs w:val="24"/>
        </w:rPr>
        <w:t>日。</w:t>
      </w:r>
    </w:p>
    <w:p w:rsidR="007A5BD9" w:rsidRPr="00E3081F" w:rsidRDefault="006F57AF" w:rsidP="007D6A9D">
      <w:pPr>
        <w:spacing w:after="0" w:line="240" w:lineRule="auto"/>
        <w:contextualSpacing/>
        <w:rPr>
          <w:rFonts w:ascii="Times New Roman" w:eastAsia="宋体" w:hAnsi="Times New Roman" w:cs="Times New Roman"/>
          <w:sz w:val="24"/>
          <w:szCs w:val="24"/>
        </w:rPr>
      </w:pPr>
      <w:r w:rsidRPr="00E3081F">
        <w:rPr>
          <w:rFonts w:ascii="Times New Roman" w:eastAsia="宋体" w:hAnsi="Times New Roman" w:cs="Times New Roman"/>
          <w:sz w:val="24"/>
          <w:szCs w:val="24"/>
        </w:rPr>
        <w:t>注射用艾司奥美拉</w:t>
      </w:r>
      <w:proofErr w:type="gramStart"/>
      <w:r w:rsidRPr="00E3081F">
        <w:rPr>
          <w:rFonts w:ascii="Times New Roman" w:eastAsia="宋体" w:hAnsi="Times New Roman" w:cs="Times New Roman"/>
          <w:sz w:val="24"/>
          <w:szCs w:val="24"/>
        </w:rPr>
        <w:t>唑</w:t>
      </w:r>
      <w:proofErr w:type="gramEnd"/>
      <w:r w:rsidRPr="00E3081F">
        <w:rPr>
          <w:rFonts w:ascii="Times New Roman" w:eastAsia="宋体" w:hAnsi="Times New Roman" w:cs="Times New Roman"/>
          <w:sz w:val="24"/>
          <w:szCs w:val="24"/>
        </w:rPr>
        <w:t>钠（商品名：耐信），修改日期：</w:t>
      </w:r>
      <w:r w:rsidRPr="00E3081F">
        <w:rPr>
          <w:rFonts w:ascii="Times New Roman" w:eastAsia="宋体" w:hAnsi="Times New Roman" w:cs="Times New Roman"/>
          <w:sz w:val="24"/>
          <w:szCs w:val="24"/>
        </w:rPr>
        <w:t>2018</w:t>
      </w:r>
      <w:r w:rsidRPr="00E3081F">
        <w:rPr>
          <w:rFonts w:ascii="Times New Roman" w:eastAsia="宋体" w:hAnsi="Times New Roman" w:cs="Times New Roman"/>
          <w:sz w:val="24"/>
          <w:szCs w:val="24"/>
        </w:rPr>
        <w:t>年</w:t>
      </w:r>
      <w:r w:rsidRPr="00E3081F">
        <w:rPr>
          <w:rFonts w:ascii="Times New Roman" w:eastAsia="宋体" w:hAnsi="Times New Roman" w:cs="Times New Roman"/>
          <w:sz w:val="24"/>
          <w:szCs w:val="24"/>
        </w:rPr>
        <w:t>05</w:t>
      </w:r>
      <w:r w:rsidRPr="00E3081F">
        <w:rPr>
          <w:rFonts w:ascii="Times New Roman" w:eastAsia="宋体" w:hAnsi="Times New Roman" w:cs="Times New Roman"/>
          <w:sz w:val="24"/>
          <w:szCs w:val="24"/>
        </w:rPr>
        <w:t>月</w:t>
      </w:r>
      <w:r w:rsidRPr="00E3081F">
        <w:rPr>
          <w:rFonts w:ascii="Times New Roman" w:eastAsia="宋体" w:hAnsi="Times New Roman" w:cs="Times New Roman"/>
          <w:sz w:val="24"/>
          <w:szCs w:val="24"/>
        </w:rPr>
        <w:t>25</w:t>
      </w:r>
      <w:r w:rsidRPr="00E3081F">
        <w:rPr>
          <w:rFonts w:ascii="Times New Roman" w:eastAsia="宋体" w:hAnsi="Times New Roman" w:cs="Times New Roman"/>
          <w:sz w:val="24"/>
          <w:szCs w:val="24"/>
        </w:rPr>
        <w:t>日。</w:t>
      </w:r>
    </w:p>
    <w:p w:rsidR="007A5BD9" w:rsidRDefault="006F57AF" w:rsidP="007D6A9D">
      <w:pPr>
        <w:spacing w:after="0" w:line="240" w:lineRule="auto"/>
        <w:contextualSpacing/>
        <w:rPr>
          <w:rFonts w:ascii="Times New Roman" w:eastAsia="宋体" w:hAnsi="Times New Roman" w:cs="Times New Roman"/>
          <w:sz w:val="24"/>
          <w:szCs w:val="24"/>
        </w:rPr>
      </w:pPr>
      <w:r w:rsidRPr="00E3081F">
        <w:rPr>
          <w:rFonts w:ascii="Times New Roman" w:eastAsia="宋体" w:hAnsi="Times New Roman" w:cs="Times New Roman"/>
          <w:sz w:val="24"/>
          <w:szCs w:val="24"/>
        </w:rPr>
        <w:t>注射用</w:t>
      </w:r>
      <w:proofErr w:type="gramStart"/>
      <w:r w:rsidRPr="00E3081F">
        <w:rPr>
          <w:rFonts w:ascii="Times New Roman" w:eastAsia="宋体" w:hAnsi="Times New Roman" w:cs="Times New Roman"/>
          <w:sz w:val="24"/>
          <w:szCs w:val="24"/>
        </w:rPr>
        <w:t>艾普拉唑</w:t>
      </w:r>
      <w:proofErr w:type="gramEnd"/>
      <w:r w:rsidRPr="00E3081F">
        <w:rPr>
          <w:rFonts w:ascii="Times New Roman" w:eastAsia="宋体" w:hAnsi="Times New Roman" w:cs="Times New Roman"/>
          <w:sz w:val="24"/>
          <w:szCs w:val="24"/>
        </w:rPr>
        <w:t>钠（商品名：</w:t>
      </w:r>
      <w:proofErr w:type="gramStart"/>
      <w:r w:rsidRPr="00E3081F">
        <w:rPr>
          <w:rFonts w:ascii="Times New Roman" w:eastAsia="宋体" w:hAnsi="Times New Roman" w:cs="Times New Roman"/>
          <w:sz w:val="24"/>
          <w:szCs w:val="24"/>
        </w:rPr>
        <w:t>壹丽安</w:t>
      </w:r>
      <w:proofErr w:type="gramEnd"/>
      <w:r w:rsidRPr="00E3081F">
        <w:rPr>
          <w:rFonts w:ascii="Times New Roman" w:eastAsia="宋体" w:hAnsi="Times New Roman" w:cs="Times New Roman"/>
          <w:sz w:val="24"/>
          <w:szCs w:val="24"/>
        </w:rPr>
        <w:t>）。</w:t>
      </w:r>
    </w:p>
    <w:p w:rsidR="005947A9" w:rsidRDefault="005947A9" w:rsidP="003B008F">
      <w:pPr>
        <w:spacing w:after="0" w:line="276" w:lineRule="auto"/>
        <w:contextualSpacing/>
        <w:rPr>
          <w:rFonts w:ascii="Times New Roman" w:eastAsia="宋体" w:hAnsi="Times New Roman" w:cs="Times New Roman"/>
          <w:sz w:val="24"/>
          <w:szCs w:val="24"/>
        </w:rPr>
      </w:pPr>
    </w:p>
    <w:p w:rsidR="00842B77" w:rsidRPr="00604E68" w:rsidRDefault="00842B77" w:rsidP="007D6A9D">
      <w:pPr>
        <w:spacing w:after="0" w:line="260" w:lineRule="exact"/>
        <w:rPr>
          <w:rFonts w:ascii="黑体" w:eastAsia="黑体" w:hAnsi="黑体"/>
          <w:sz w:val="28"/>
          <w:szCs w:val="28"/>
        </w:rPr>
      </w:pPr>
      <w:r w:rsidRPr="00604E68">
        <w:rPr>
          <w:rFonts w:ascii="黑体" w:eastAsia="黑体" w:hAnsi="黑体" w:hint="eastAsia"/>
          <w:sz w:val="28"/>
          <w:szCs w:val="28"/>
        </w:rPr>
        <w:t>起草专家组</w:t>
      </w:r>
    </w:p>
    <w:p w:rsidR="00842B77" w:rsidRPr="00842B77" w:rsidRDefault="00842B77" w:rsidP="007D6A9D">
      <w:pPr>
        <w:spacing w:after="0" w:line="260" w:lineRule="exact"/>
        <w:ind w:left="91"/>
        <w:rPr>
          <w:rFonts w:ascii="Times New Roman" w:eastAsia="宋体" w:hAnsi="Times New Roman" w:cs="Times New Roman"/>
          <w:b/>
          <w:sz w:val="24"/>
          <w:szCs w:val="24"/>
        </w:rPr>
      </w:pPr>
      <w:r w:rsidRPr="00842B77">
        <w:rPr>
          <w:rFonts w:ascii="Times New Roman" w:eastAsia="宋体" w:hAnsi="Times New Roman" w:cs="Times New Roman" w:hint="eastAsia"/>
          <w:b/>
          <w:sz w:val="24"/>
          <w:szCs w:val="24"/>
        </w:rPr>
        <w:t>顾问</w:t>
      </w:r>
      <w:r w:rsidR="00604E68">
        <w:rPr>
          <w:rFonts w:ascii="Times New Roman" w:eastAsia="宋体" w:hAnsi="Times New Roman" w:cs="Times New Roman" w:hint="eastAsia"/>
          <w:b/>
          <w:sz w:val="24"/>
          <w:szCs w:val="24"/>
        </w:rPr>
        <w:t>：</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杨敏</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广东省人民医院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主任药师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葛卫红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南京鼓楼医院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主任药师</w:t>
      </w:r>
    </w:p>
    <w:p w:rsidR="00842B77" w:rsidRPr="00604E68" w:rsidRDefault="00842B77" w:rsidP="007D6A9D">
      <w:pPr>
        <w:spacing w:after="0" w:line="260" w:lineRule="exact"/>
        <w:ind w:left="91"/>
        <w:rPr>
          <w:rFonts w:ascii="Times New Roman" w:eastAsia="宋体" w:hAnsi="Times New Roman" w:cs="Times New Roman"/>
          <w:b/>
          <w:sz w:val="24"/>
          <w:szCs w:val="24"/>
        </w:rPr>
      </w:pPr>
      <w:r w:rsidRPr="00604E68">
        <w:rPr>
          <w:rFonts w:ascii="Times New Roman" w:eastAsia="宋体" w:hAnsi="Times New Roman" w:cs="Times New Roman" w:hint="eastAsia"/>
          <w:b/>
          <w:sz w:val="24"/>
          <w:szCs w:val="24"/>
        </w:rPr>
        <w:t>执笔</w:t>
      </w:r>
      <w:r w:rsidR="00604E68">
        <w:rPr>
          <w:rFonts w:ascii="Times New Roman" w:eastAsia="宋体" w:hAnsi="Times New Roman" w:cs="Times New Roman" w:hint="eastAsia"/>
          <w:b/>
          <w:sz w:val="24"/>
          <w:szCs w:val="24"/>
        </w:rPr>
        <w:t>：</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曾英彤</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广东省人民医院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主任药师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proofErr w:type="gramStart"/>
      <w:r w:rsidRPr="00842B77">
        <w:rPr>
          <w:rFonts w:ascii="Times New Roman" w:eastAsia="宋体" w:hAnsi="Times New Roman" w:cs="Times New Roman" w:hint="eastAsia"/>
          <w:sz w:val="24"/>
          <w:szCs w:val="24"/>
        </w:rPr>
        <w:t>沙卫红</w:t>
      </w:r>
      <w:proofErr w:type="gramEnd"/>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广东省人民医院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主任医师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郑志华</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广东省药学会</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主任药师</w:t>
      </w:r>
    </w:p>
    <w:p w:rsidR="00842B77" w:rsidRPr="00842B77" w:rsidRDefault="00842B77" w:rsidP="007D6A9D">
      <w:pPr>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b/>
          <w:sz w:val="24"/>
          <w:szCs w:val="24"/>
        </w:rPr>
        <w:t>成员</w:t>
      </w:r>
      <w:r w:rsidRPr="00842B77">
        <w:rPr>
          <w:rFonts w:ascii="Times New Roman" w:eastAsia="宋体" w:hAnsi="Times New Roman" w:cs="Times New Roman" w:hint="eastAsia"/>
          <w:sz w:val="24"/>
          <w:szCs w:val="24"/>
        </w:rPr>
        <w:t>（按姓氏笔划排列）</w:t>
      </w:r>
      <w:r w:rsidR="00604E68">
        <w:rPr>
          <w:rFonts w:ascii="Times New Roman" w:eastAsia="宋体" w:hAnsi="Times New Roman" w:cs="Times New Roman" w:hint="eastAsia"/>
          <w:sz w:val="24"/>
          <w:szCs w:val="24"/>
        </w:rPr>
        <w:t>：</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proofErr w:type="gramStart"/>
      <w:r w:rsidRPr="00842B77">
        <w:rPr>
          <w:rFonts w:ascii="Times New Roman" w:eastAsia="宋体" w:hAnsi="Times New Roman" w:cs="Times New Roman" w:hint="eastAsia"/>
          <w:sz w:val="24"/>
          <w:szCs w:val="24"/>
        </w:rPr>
        <w:t>王若伦</w:t>
      </w:r>
      <w:proofErr w:type="gramEnd"/>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广州医科大学附属第二医院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主任药师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王勇</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广东省药学会</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学术部主任</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王燕</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广州市第一人民医院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主任医师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布小玲</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广东省人民医院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副主任医师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伍俊妍</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中山大学孙逸仙纪念医院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主任药师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刘世霆</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南方医科大学南方医院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主任药师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proofErr w:type="gramStart"/>
      <w:r w:rsidRPr="00842B77">
        <w:rPr>
          <w:rFonts w:ascii="Times New Roman" w:eastAsia="宋体" w:hAnsi="Times New Roman" w:cs="Times New Roman" w:hint="eastAsia"/>
          <w:sz w:val="24"/>
          <w:szCs w:val="24"/>
        </w:rPr>
        <w:t>劳</w:t>
      </w:r>
      <w:proofErr w:type="gramEnd"/>
      <w:r w:rsidRPr="00842B77">
        <w:rPr>
          <w:rFonts w:ascii="Times New Roman" w:eastAsia="宋体" w:hAnsi="Times New Roman" w:cs="Times New Roman" w:hint="eastAsia"/>
          <w:sz w:val="24"/>
          <w:szCs w:val="24"/>
        </w:rPr>
        <w:t>海燕</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广东省人民医院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主任药师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李健</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中国人民解放军南部战区总医院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副主任医师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杨威</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中山大学附属第一医院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副主任药师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吴晓松</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暨南大学附属第一医院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主任药师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吴晓玲</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广东省中西医结合医院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主任药师</w:t>
      </w:r>
    </w:p>
    <w:p w:rsidR="00B22B3A" w:rsidRPr="000678F7" w:rsidRDefault="00B22B3A" w:rsidP="00B22B3A">
      <w:pPr>
        <w:tabs>
          <w:tab w:val="left" w:pos="1466"/>
          <w:tab w:val="left" w:pos="7230"/>
        </w:tabs>
        <w:spacing w:after="0" w:line="240" w:lineRule="auto"/>
        <w:ind w:firstLineChars="59" w:firstLine="142"/>
        <w:rPr>
          <w:rFonts w:ascii="Times New Roman" w:eastAsia="宋体" w:hAnsi="Times New Roman" w:cs="Times New Roman"/>
          <w:sz w:val="24"/>
          <w:szCs w:val="24"/>
        </w:rPr>
      </w:pPr>
      <w:r w:rsidRPr="000678F7">
        <w:rPr>
          <w:rFonts w:ascii="Times New Roman" w:eastAsia="宋体" w:hAnsi="Times New Roman" w:cs="Times New Roman" w:hint="eastAsia"/>
          <w:sz w:val="24"/>
          <w:szCs w:val="24"/>
        </w:rPr>
        <w:t>吴新荣</w:t>
      </w:r>
      <w:r w:rsidRPr="000678F7">
        <w:rPr>
          <w:rFonts w:ascii="Times New Roman" w:eastAsia="宋体" w:hAnsi="Times New Roman" w:cs="Times New Roman"/>
          <w:sz w:val="24"/>
          <w:szCs w:val="24"/>
        </w:rPr>
        <w:tab/>
      </w:r>
      <w:r w:rsidRPr="000678F7">
        <w:rPr>
          <w:rFonts w:ascii="Times New Roman" w:eastAsia="宋体" w:hAnsi="Times New Roman" w:cs="Times New Roman" w:hint="eastAsia"/>
          <w:sz w:val="24"/>
          <w:szCs w:val="24"/>
        </w:rPr>
        <w:t>中国人民解放军南部战区总医院</w:t>
      </w:r>
      <w:r w:rsidRPr="000678F7">
        <w:rPr>
          <w:rFonts w:ascii="Times New Roman" w:eastAsia="宋体" w:hAnsi="Times New Roman" w:cs="Times New Roman"/>
          <w:sz w:val="24"/>
          <w:szCs w:val="24"/>
        </w:rPr>
        <w:tab/>
      </w:r>
      <w:r w:rsidRPr="000678F7">
        <w:rPr>
          <w:rFonts w:ascii="Times New Roman" w:eastAsia="宋体" w:hAnsi="Times New Roman" w:cs="Times New Roman" w:hint="eastAsia"/>
          <w:sz w:val="24"/>
          <w:szCs w:val="24"/>
        </w:rPr>
        <w:t>主任药师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邱凯锋</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中山大学孙逸仙纪念医院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主任药师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何艳玲</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广州市妇女儿童医疗中心</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主任药师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陈吉生</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广东药科大学附属第一医院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主任药师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陈杰</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中山大学附属第一医院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副主任药师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林华</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广东省中医院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主任中药师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郑锦坤</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粤北人民医院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主任药师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唐洪梅</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广州中医药大学第一附属医院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主任中药师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黄红兵</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中山大学肿瘤防治中心</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主任药师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黄际薇</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中山大学附属第三医院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副主任药师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proofErr w:type="gramStart"/>
      <w:r w:rsidRPr="00842B77">
        <w:rPr>
          <w:rFonts w:ascii="Times New Roman" w:eastAsia="宋体" w:hAnsi="Times New Roman" w:cs="Times New Roman" w:hint="eastAsia"/>
          <w:sz w:val="24"/>
          <w:szCs w:val="24"/>
        </w:rPr>
        <w:t>谢守霞</w:t>
      </w:r>
      <w:proofErr w:type="gramEnd"/>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深圳市人民医院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主任药师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蔡庆群</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广州中医药大学第一附属医院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主任中药师</w:t>
      </w:r>
    </w:p>
    <w:p w:rsidR="00B22B3A" w:rsidRPr="000678F7" w:rsidRDefault="00B22B3A" w:rsidP="00B22B3A">
      <w:pPr>
        <w:tabs>
          <w:tab w:val="left" w:pos="1466"/>
          <w:tab w:val="left" w:pos="7230"/>
        </w:tabs>
        <w:spacing w:after="0" w:line="240" w:lineRule="auto"/>
        <w:ind w:firstLineChars="50" w:firstLine="120"/>
        <w:rPr>
          <w:rFonts w:ascii="Times New Roman" w:eastAsia="宋体" w:hAnsi="Times New Roman" w:cs="Times New Roman"/>
          <w:sz w:val="24"/>
          <w:szCs w:val="24"/>
        </w:rPr>
      </w:pPr>
      <w:r w:rsidRPr="000678F7">
        <w:rPr>
          <w:rFonts w:ascii="Times New Roman" w:eastAsia="宋体" w:hAnsi="Times New Roman" w:cs="Times New Roman" w:hint="eastAsia"/>
          <w:sz w:val="24"/>
          <w:szCs w:val="24"/>
        </w:rPr>
        <w:t>熊艳</w:t>
      </w:r>
      <w:r w:rsidRPr="000678F7">
        <w:rPr>
          <w:rFonts w:ascii="Times New Roman" w:eastAsia="宋体" w:hAnsi="Times New Roman" w:cs="Times New Roman"/>
          <w:sz w:val="24"/>
          <w:szCs w:val="24"/>
        </w:rPr>
        <w:tab/>
      </w:r>
      <w:r w:rsidRPr="000678F7">
        <w:rPr>
          <w:rFonts w:ascii="Times New Roman" w:eastAsia="宋体" w:hAnsi="Times New Roman" w:cs="Times New Roman" w:hint="eastAsia"/>
          <w:sz w:val="24"/>
          <w:szCs w:val="24"/>
        </w:rPr>
        <w:t>中山大学附属第一医院</w:t>
      </w:r>
      <w:r w:rsidRPr="000678F7">
        <w:rPr>
          <w:rFonts w:ascii="Times New Roman" w:eastAsia="宋体" w:hAnsi="Times New Roman" w:cs="Times New Roman"/>
          <w:sz w:val="24"/>
          <w:szCs w:val="24"/>
        </w:rPr>
        <w:tab/>
      </w:r>
      <w:r w:rsidRPr="000678F7">
        <w:rPr>
          <w:rFonts w:ascii="Times New Roman" w:eastAsia="宋体" w:hAnsi="Times New Roman" w:cs="Times New Roman" w:hint="eastAsia"/>
          <w:sz w:val="24"/>
          <w:szCs w:val="24"/>
        </w:rPr>
        <w:t>主任医师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r w:rsidRPr="00842B77">
        <w:rPr>
          <w:rFonts w:ascii="Times New Roman" w:eastAsia="宋体" w:hAnsi="Times New Roman" w:cs="Times New Roman" w:hint="eastAsia"/>
          <w:sz w:val="24"/>
          <w:szCs w:val="24"/>
        </w:rPr>
        <w:t>黎小妍</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中山大学附属第六医院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主任药师</w:t>
      </w:r>
    </w:p>
    <w:p w:rsidR="00842B77" w:rsidRPr="00842B77"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proofErr w:type="gramStart"/>
      <w:r w:rsidRPr="00842B77">
        <w:rPr>
          <w:rFonts w:ascii="Times New Roman" w:eastAsia="宋体" w:hAnsi="Times New Roman" w:cs="Times New Roman" w:hint="eastAsia"/>
          <w:sz w:val="24"/>
          <w:szCs w:val="24"/>
        </w:rPr>
        <w:t>魏理</w:t>
      </w:r>
      <w:proofErr w:type="gramEnd"/>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广州医科大学附属第一医院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主任药师</w:t>
      </w:r>
    </w:p>
    <w:p w:rsidR="00842B77" w:rsidRPr="00842B77" w:rsidRDefault="00842B77" w:rsidP="007D6A9D">
      <w:pPr>
        <w:spacing w:after="0" w:line="260" w:lineRule="exact"/>
        <w:ind w:left="91"/>
        <w:rPr>
          <w:rFonts w:ascii="Times New Roman" w:eastAsia="宋体" w:hAnsi="Times New Roman" w:cs="Times New Roman"/>
          <w:b/>
          <w:sz w:val="24"/>
          <w:szCs w:val="24"/>
        </w:rPr>
      </w:pPr>
      <w:r w:rsidRPr="00842B77">
        <w:rPr>
          <w:rFonts w:ascii="Times New Roman" w:eastAsia="宋体" w:hAnsi="Times New Roman" w:cs="Times New Roman" w:hint="eastAsia"/>
          <w:b/>
          <w:sz w:val="24"/>
          <w:szCs w:val="24"/>
        </w:rPr>
        <w:lastRenderedPageBreak/>
        <w:t>秘书</w:t>
      </w:r>
    </w:p>
    <w:p w:rsidR="00A14552" w:rsidRPr="00E3081F" w:rsidRDefault="00842B77" w:rsidP="007D6A9D">
      <w:pPr>
        <w:tabs>
          <w:tab w:val="left" w:pos="1466"/>
          <w:tab w:val="left" w:pos="7196"/>
        </w:tabs>
        <w:spacing w:after="0" w:line="260" w:lineRule="exact"/>
        <w:ind w:left="91"/>
        <w:rPr>
          <w:rFonts w:ascii="Times New Roman" w:eastAsia="宋体" w:hAnsi="Times New Roman" w:cs="Times New Roman"/>
          <w:sz w:val="24"/>
          <w:szCs w:val="24"/>
        </w:rPr>
      </w:pPr>
      <w:proofErr w:type="gramStart"/>
      <w:r w:rsidRPr="00842B77">
        <w:rPr>
          <w:rFonts w:ascii="Times New Roman" w:eastAsia="宋体" w:hAnsi="Times New Roman" w:cs="Times New Roman" w:hint="eastAsia"/>
          <w:sz w:val="24"/>
          <w:szCs w:val="24"/>
        </w:rPr>
        <w:t>伦玉宁</w:t>
      </w:r>
      <w:proofErr w:type="gramEnd"/>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广东省人民医院</w:t>
      </w:r>
      <w:r w:rsidRPr="00842B77">
        <w:rPr>
          <w:rFonts w:ascii="Times New Roman" w:eastAsia="宋体" w:hAnsi="Times New Roman" w:cs="Times New Roman"/>
          <w:sz w:val="24"/>
          <w:szCs w:val="24"/>
        </w:rPr>
        <w:tab/>
      </w:r>
      <w:r w:rsidRPr="00842B77">
        <w:rPr>
          <w:rFonts w:ascii="Times New Roman" w:eastAsia="宋体" w:hAnsi="Times New Roman" w:cs="Times New Roman" w:hint="eastAsia"/>
          <w:sz w:val="24"/>
          <w:szCs w:val="24"/>
        </w:rPr>
        <w:t>主管药师</w:t>
      </w:r>
    </w:p>
    <w:sectPr w:rsidR="00A14552" w:rsidRPr="00E3081F" w:rsidSect="00842B77">
      <w:footerReference w:type="default" r:id="rId21"/>
      <w:pgSz w:w="11906" w:h="16838"/>
      <w:pgMar w:top="1418" w:right="1418" w:bottom="993"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D4" w:rsidRDefault="00974FD4">
      <w:pPr>
        <w:spacing w:after="0" w:line="240" w:lineRule="auto"/>
      </w:pPr>
      <w:r>
        <w:separator/>
      </w:r>
    </w:p>
  </w:endnote>
  <w:endnote w:type="continuationSeparator" w:id="0">
    <w:p w:rsidR="00974FD4" w:rsidRDefault="0097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default"/>
    <w:sig w:usb0="00000000" w:usb1="38CF7CFA" w:usb2="00000016" w:usb3="00000000" w:csb0="0004000F" w:csb1="00000000"/>
  </w:font>
  <w:font w:name="Calibri Light">
    <w:altName w:val="Arial Unicode MS"/>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default"/>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530036"/>
    </w:sdtPr>
    <w:sdtEndPr/>
    <w:sdtContent>
      <w:p w:rsidR="00E852E9" w:rsidRDefault="00E852E9">
        <w:pPr>
          <w:pStyle w:val="a6"/>
          <w:jc w:val="center"/>
        </w:pPr>
        <w:r>
          <w:fldChar w:fldCharType="begin"/>
        </w:r>
        <w:r>
          <w:instrText xml:space="preserve"> PAGE   \* MERGEFORMAT </w:instrText>
        </w:r>
        <w:r>
          <w:fldChar w:fldCharType="separate"/>
        </w:r>
        <w:r w:rsidR="003E01FA">
          <w:rPr>
            <w:noProof/>
          </w:rPr>
          <w:t>4</w:t>
        </w:r>
        <w:r>
          <w:fldChar w:fldCharType="end"/>
        </w:r>
      </w:p>
    </w:sdtContent>
  </w:sdt>
  <w:p w:rsidR="00E852E9" w:rsidRDefault="00E852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D4" w:rsidRDefault="00974FD4">
      <w:pPr>
        <w:spacing w:after="0" w:line="240" w:lineRule="auto"/>
      </w:pPr>
      <w:r>
        <w:separator/>
      </w:r>
    </w:p>
  </w:footnote>
  <w:footnote w:type="continuationSeparator" w:id="0">
    <w:p w:rsidR="00974FD4" w:rsidRDefault="00974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2C42A"/>
    <w:multiLevelType w:val="singleLevel"/>
    <w:tmpl w:val="7322C42A"/>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rawingGridVerticalSpacing w:val="20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39"/>
    <w:rsid w:val="000076D8"/>
    <w:rsid w:val="00010AFE"/>
    <w:rsid w:val="00015129"/>
    <w:rsid w:val="000158BC"/>
    <w:rsid w:val="00016F02"/>
    <w:rsid w:val="00020E97"/>
    <w:rsid w:val="00021010"/>
    <w:rsid w:val="00025789"/>
    <w:rsid w:val="000277B0"/>
    <w:rsid w:val="00031D3A"/>
    <w:rsid w:val="00031DAD"/>
    <w:rsid w:val="00032585"/>
    <w:rsid w:val="000619DB"/>
    <w:rsid w:val="00070F3E"/>
    <w:rsid w:val="00073F49"/>
    <w:rsid w:val="00073F72"/>
    <w:rsid w:val="00075148"/>
    <w:rsid w:val="0007613F"/>
    <w:rsid w:val="00077025"/>
    <w:rsid w:val="00081F71"/>
    <w:rsid w:val="00085FF8"/>
    <w:rsid w:val="00087626"/>
    <w:rsid w:val="00091F83"/>
    <w:rsid w:val="00096AEE"/>
    <w:rsid w:val="000976F6"/>
    <w:rsid w:val="000A4540"/>
    <w:rsid w:val="000A62DB"/>
    <w:rsid w:val="000B4667"/>
    <w:rsid w:val="000B5AC5"/>
    <w:rsid w:val="000C1D19"/>
    <w:rsid w:val="000C21D4"/>
    <w:rsid w:val="000C4622"/>
    <w:rsid w:val="000C6031"/>
    <w:rsid w:val="000C7053"/>
    <w:rsid w:val="000D0BF4"/>
    <w:rsid w:val="000D25CE"/>
    <w:rsid w:val="000D481A"/>
    <w:rsid w:val="000D7615"/>
    <w:rsid w:val="000E2390"/>
    <w:rsid w:val="000E4E15"/>
    <w:rsid w:val="000E65D7"/>
    <w:rsid w:val="000E7BBC"/>
    <w:rsid w:val="000E7BDB"/>
    <w:rsid w:val="000F51CC"/>
    <w:rsid w:val="000F7EB7"/>
    <w:rsid w:val="00100CD8"/>
    <w:rsid w:val="00101FE1"/>
    <w:rsid w:val="00106209"/>
    <w:rsid w:val="00106D74"/>
    <w:rsid w:val="001112F4"/>
    <w:rsid w:val="00112B95"/>
    <w:rsid w:val="00112EFE"/>
    <w:rsid w:val="0011363C"/>
    <w:rsid w:val="00114340"/>
    <w:rsid w:val="00114BE8"/>
    <w:rsid w:val="00115440"/>
    <w:rsid w:val="00115FF1"/>
    <w:rsid w:val="00116002"/>
    <w:rsid w:val="00116AFC"/>
    <w:rsid w:val="0011739C"/>
    <w:rsid w:val="00120A3E"/>
    <w:rsid w:val="00120C04"/>
    <w:rsid w:val="00122707"/>
    <w:rsid w:val="00126C2F"/>
    <w:rsid w:val="00130F8B"/>
    <w:rsid w:val="001314C6"/>
    <w:rsid w:val="001321B4"/>
    <w:rsid w:val="00133045"/>
    <w:rsid w:val="00135AC5"/>
    <w:rsid w:val="001501EE"/>
    <w:rsid w:val="00151FC6"/>
    <w:rsid w:val="00153E70"/>
    <w:rsid w:val="00155C79"/>
    <w:rsid w:val="001635E8"/>
    <w:rsid w:val="00164F32"/>
    <w:rsid w:val="00166A25"/>
    <w:rsid w:val="0016740B"/>
    <w:rsid w:val="00167FB7"/>
    <w:rsid w:val="001704B7"/>
    <w:rsid w:val="0017160D"/>
    <w:rsid w:val="00171E87"/>
    <w:rsid w:val="00173E75"/>
    <w:rsid w:val="00174780"/>
    <w:rsid w:val="00174814"/>
    <w:rsid w:val="00176D6C"/>
    <w:rsid w:val="00182A34"/>
    <w:rsid w:val="00182DC6"/>
    <w:rsid w:val="001835FD"/>
    <w:rsid w:val="00183A84"/>
    <w:rsid w:val="00187868"/>
    <w:rsid w:val="00187C44"/>
    <w:rsid w:val="00190F56"/>
    <w:rsid w:val="0019434E"/>
    <w:rsid w:val="00194429"/>
    <w:rsid w:val="00197AB5"/>
    <w:rsid w:val="001A2CA3"/>
    <w:rsid w:val="001A4170"/>
    <w:rsid w:val="001B1865"/>
    <w:rsid w:val="001B474F"/>
    <w:rsid w:val="001C18A2"/>
    <w:rsid w:val="001C45E5"/>
    <w:rsid w:val="001D00B3"/>
    <w:rsid w:val="001D085D"/>
    <w:rsid w:val="001D2CC1"/>
    <w:rsid w:val="001D45EE"/>
    <w:rsid w:val="001D4828"/>
    <w:rsid w:val="001D58BF"/>
    <w:rsid w:val="001D5CB2"/>
    <w:rsid w:val="001D6567"/>
    <w:rsid w:val="001D7E56"/>
    <w:rsid w:val="001E2338"/>
    <w:rsid w:val="001E675A"/>
    <w:rsid w:val="001F416A"/>
    <w:rsid w:val="001F5B2A"/>
    <w:rsid w:val="00200B4B"/>
    <w:rsid w:val="002059DE"/>
    <w:rsid w:val="00206090"/>
    <w:rsid w:val="0020731E"/>
    <w:rsid w:val="0021012E"/>
    <w:rsid w:val="00210739"/>
    <w:rsid w:val="00214304"/>
    <w:rsid w:val="00214465"/>
    <w:rsid w:val="002176ED"/>
    <w:rsid w:val="00220485"/>
    <w:rsid w:val="00225E60"/>
    <w:rsid w:val="0023199D"/>
    <w:rsid w:val="00231DC7"/>
    <w:rsid w:val="0023302F"/>
    <w:rsid w:val="00237B38"/>
    <w:rsid w:val="00237BA7"/>
    <w:rsid w:val="00237D99"/>
    <w:rsid w:val="00243E24"/>
    <w:rsid w:val="00245DFC"/>
    <w:rsid w:val="00251EE9"/>
    <w:rsid w:val="002573FD"/>
    <w:rsid w:val="002600DE"/>
    <w:rsid w:val="002614D4"/>
    <w:rsid w:val="002618A7"/>
    <w:rsid w:val="0026346E"/>
    <w:rsid w:val="00264620"/>
    <w:rsid w:val="00271EDB"/>
    <w:rsid w:val="002741CA"/>
    <w:rsid w:val="00274E13"/>
    <w:rsid w:val="00276174"/>
    <w:rsid w:val="00276F8E"/>
    <w:rsid w:val="0028035B"/>
    <w:rsid w:val="0028084D"/>
    <w:rsid w:val="00281597"/>
    <w:rsid w:val="0028193D"/>
    <w:rsid w:val="00283132"/>
    <w:rsid w:val="0028407C"/>
    <w:rsid w:val="0029024C"/>
    <w:rsid w:val="00292747"/>
    <w:rsid w:val="0029297D"/>
    <w:rsid w:val="00294608"/>
    <w:rsid w:val="00295763"/>
    <w:rsid w:val="002A2A21"/>
    <w:rsid w:val="002A4FD0"/>
    <w:rsid w:val="002A6B6B"/>
    <w:rsid w:val="002A6C02"/>
    <w:rsid w:val="002A6C1F"/>
    <w:rsid w:val="002B3B2D"/>
    <w:rsid w:val="002C11F7"/>
    <w:rsid w:val="002D0F32"/>
    <w:rsid w:val="002D4695"/>
    <w:rsid w:val="002D5152"/>
    <w:rsid w:val="002D7656"/>
    <w:rsid w:val="002D7D9A"/>
    <w:rsid w:val="002E0416"/>
    <w:rsid w:val="002E7F3B"/>
    <w:rsid w:val="00305A96"/>
    <w:rsid w:val="003206F1"/>
    <w:rsid w:val="00320E56"/>
    <w:rsid w:val="0032111D"/>
    <w:rsid w:val="00323C7B"/>
    <w:rsid w:val="00323D84"/>
    <w:rsid w:val="0032638D"/>
    <w:rsid w:val="00334660"/>
    <w:rsid w:val="0033786F"/>
    <w:rsid w:val="003417F2"/>
    <w:rsid w:val="003453C2"/>
    <w:rsid w:val="00352C2B"/>
    <w:rsid w:val="00356971"/>
    <w:rsid w:val="00356FFD"/>
    <w:rsid w:val="003573E7"/>
    <w:rsid w:val="00357C8A"/>
    <w:rsid w:val="00362648"/>
    <w:rsid w:val="00363180"/>
    <w:rsid w:val="003638F6"/>
    <w:rsid w:val="0036766E"/>
    <w:rsid w:val="00367F0A"/>
    <w:rsid w:val="00373479"/>
    <w:rsid w:val="00373E5F"/>
    <w:rsid w:val="003746E4"/>
    <w:rsid w:val="00381BF3"/>
    <w:rsid w:val="00382000"/>
    <w:rsid w:val="00383D5D"/>
    <w:rsid w:val="0038408C"/>
    <w:rsid w:val="00384748"/>
    <w:rsid w:val="00386A3F"/>
    <w:rsid w:val="003926DE"/>
    <w:rsid w:val="0039484D"/>
    <w:rsid w:val="003A02B1"/>
    <w:rsid w:val="003A2607"/>
    <w:rsid w:val="003A527B"/>
    <w:rsid w:val="003B008F"/>
    <w:rsid w:val="003B0B68"/>
    <w:rsid w:val="003B6B94"/>
    <w:rsid w:val="003C59CE"/>
    <w:rsid w:val="003C6498"/>
    <w:rsid w:val="003D741B"/>
    <w:rsid w:val="003D75FE"/>
    <w:rsid w:val="003E01FA"/>
    <w:rsid w:val="003E0F04"/>
    <w:rsid w:val="003E24CF"/>
    <w:rsid w:val="003F30BA"/>
    <w:rsid w:val="003F332B"/>
    <w:rsid w:val="003F347A"/>
    <w:rsid w:val="003F6204"/>
    <w:rsid w:val="003F6524"/>
    <w:rsid w:val="003F76F2"/>
    <w:rsid w:val="00400AFE"/>
    <w:rsid w:val="004033D4"/>
    <w:rsid w:val="00406390"/>
    <w:rsid w:val="00407F80"/>
    <w:rsid w:val="00410B0E"/>
    <w:rsid w:val="004168FA"/>
    <w:rsid w:val="004264C4"/>
    <w:rsid w:val="004306C4"/>
    <w:rsid w:val="00431836"/>
    <w:rsid w:val="00432FA4"/>
    <w:rsid w:val="00433C42"/>
    <w:rsid w:val="0043703B"/>
    <w:rsid w:val="0045102D"/>
    <w:rsid w:val="0045121E"/>
    <w:rsid w:val="004545F2"/>
    <w:rsid w:val="00455371"/>
    <w:rsid w:val="0046101B"/>
    <w:rsid w:val="00463496"/>
    <w:rsid w:val="0046563B"/>
    <w:rsid w:val="00466757"/>
    <w:rsid w:val="00466FD6"/>
    <w:rsid w:val="00467759"/>
    <w:rsid w:val="0047065B"/>
    <w:rsid w:val="0047602A"/>
    <w:rsid w:val="0047726E"/>
    <w:rsid w:val="00477485"/>
    <w:rsid w:val="00482372"/>
    <w:rsid w:val="00484410"/>
    <w:rsid w:val="00484ABF"/>
    <w:rsid w:val="00484B83"/>
    <w:rsid w:val="00497FA9"/>
    <w:rsid w:val="004A1DEE"/>
    <w:rsid w:val="004A2604"/>
    <w:rsid w:val="004A5508"/>
    <w:rsid w:val="004B477D"/>
    <w:rsid w:val="004B5445"/>
    <w:rsid w:val="004C0345"/>
    <w:rsid w:val="004C750D"/>
    <w:rsid w:val="004D0403"/>
    <w:rsid w:val="004D14DB"/>
    <w:rsid w:val="004D2E26"/>
    <w:rsid w:val="004E210D"/>
    <w:rsid w:val="004E5CC5"/>
    <w:rsid w:val="004E75C8"/>
    <w:rsid w:val="004F54BC"/>
    <w:rsid w:val="00505282"/>
    <w:rsid w:val="00506C83"/>
    <w:rsid w:val="0050781B"/>
    <w:rsid w:val="0051675F"/>
    <w:rsid w:val="00522A69"/>
    <w:rsid w:val="00522B42"/>
    <w:rsid w:val="005231A7"/>
    <w:rsid w:val="005255CF"/>
    <w:rsid w:val="00526A64"/>
    <w:rsid w:val="00534575"/>
    <w:rsid w:val="005401FD"/>
    <w:rsid w:val="0054179B"/>
    <w:rsid w:val="00541F8B"/>
    <w:rsid w:val="005439CD"/>
    <w:rsid w:val="00545DCA"/>
    <w:rsid w:val="005474D1"/>
    <w:rsid w:val="00552C69"/>
    <w:rsid w:val="00557703"/>
    <w:rsid w:val="0056120F"/>
    <w:rsid w:val="00561985"/>
    <w:rsid w:val="0056502D"/>
    <w:rsid w:val="005668CB"/>
    <w:rsid w:val="00570593"/>
    <w:rsid w:val="0057786F"/>
    <w:rsid w:val="00581BB8"/>
    <w:rsid w:val="0058514F"/>
    <w:rsid w:val="0058707F"/>
    <w:rsid w:val="005875A1"/>
    <w:rsid w:val="00590879"/>
    <w:rsid w:val="00591B3C"/>
    <w:rsid w:val="00592C9D"/>
    <w:rsid w:val="0059391B"/>
    <w:rsid w:val="005939CE"/>
    <w:rsid w:val="005947A9"/>
    <w:rsid w:val="005948AD"/>
    <w:rsid w:val="00594AFF"/>
    <w:rsid w:val="00596C80"/>
    <w:rsid w:val="005A0D38"/>
    <w:rsid w:val="005A51FE"/>
    <w:rsid w:val="005B129B"/>
    <w:rsid w:val="005C0DCE"/>
    <w:rsid w:val="005C176F"/>
    <w:rsid w:val="005D113C"/>
    <w:rsid w:val="005D3195"/>
    <w:rsid w:val="005D4D0F"/>
    <w:rsid w:val="005D650B"/>
    <w:rsid w:val="005D73F2"/>
    <w:rsid w:val="005E23BF"/>
    <w:rsid w:val="005E6AE4"/>
    <w:rsid w:val="005E71D6"/>
    <w:rsid w:val="005F18E4"/>
    <w:rsid w:val="00600FD5"/>
    <w:rsid w:val="006030F9"/>
    <w:rsid w:val="00603DC8"/>
    <w:rsid w:val="00604E68"/>
    <w:rsid w:val="00613DD8"/>
    <w:rsid w:val="00617452"/>
    <w:rsid w:val="00620585"/>
    <w:rsid w:val="00620C00"/>
    <w:rsid w:val="00621303"/>
    <w:rsid w:val="006347BB"/>
    <w:rsid w:val="006349B3"/>
    <w:rsid w:val="00646EBE"/>
    <w:rsid w:val="00652598"/>
    <w:rsid w:val="00664EDD"/>
    <w:rsid w:val="00671D66"/>
    <w:rsid w:val="00676194"/>
    <w:rsid w:val="00681375"/>
    <w:rsid w:val="006838A5"/>
    <w:rsid w:val="00683B25"/>
    <w:rsid w:val="006857D9"/>
    <w:rsid w:val="00694E08"/>
    <w:rsid w:val="0069503A"/>
    <w:rsid w:val="0069655F"/>
    <w:rsid w:val="00696D89"/>
    <w:rsid w:val="006A013D"/>
    <w:rsid w:val="006A2545"/>
    <w:rsid w:val="006A5081"/>
    <w:rsid w:val="006B02F6"/>
    <w:rsid w:val="006B0464"/>
    <w:rsid w:val="006B2111"/>
    <w:rsid w:val="006C0EA4"/>
    <w:rsid w:val="006C68C4"/>
    <w:rsid w:val="006D0C7A"/>
    <w:rsid w:val="006D7832"/>
    <w:rsid w:val="006E1F50"/>
    <w:rsid w:val="006E2413"/>
    <w:rsid w:val="006E6F95"/>
    <w:rsid w:val="006F57AF"/>
    <w:rsid w:val="006F5D42"/>
    <w:rsid w:val="00703C89"/>
    <w:rsid w:val="00703EA2"/>
    <w:rsid w:val="0071245F"/>
    <w:rsid w:val="00726A5D"/>
    <w:rsid w:val="00726F02"/>
    <w:rsid w:val="00733DE7"/>
    <w:rsid w:val="007379E5"/>
    <w:rsid w:val="00746649"/>
    <w:rsid w:val="00751740"/>
    <w:rsid w:val="007530BA"/>
    <w:rsid w:val="00760950"/>
    <w:rsid w:val="0076339E"/>
    <w:rsid w:val="007646B3"/>
    <w:rsid w:val="00766BAF"/>
    <w:rsid w:val="00767FA6"/>
    <w:rsid w:val="00771C0B"/>
    <w:rsid w:val="0077428E"/>
    <w:rsid w:val="00774BBC"/>
    <w:rsid w:val="0077702C"/>
    <w:rsid w:val="007803DE"/>
    <w:rsid w:val="0078361E"/>
    <w:rsid w:val="00784C4B"/>
    <w:rsid w:val="007859DF"/>
    <w:rsid w:val="007862C9"/>
    <w:rsid w:val="00787527"/>
    <w:rsid w:val="00790755"/>
    <w:rsid w:val="00793359"/>
    <w:rsid w:val="007A5BD2"/>
    <w:rsid w:val="007A5BD9"/>
    <w:rsid w:val="007B0DEE"/>
    <w:rsid w:val="007B4679"/>
    <w:rsid w:val="007B5C43"/>
    <w:rsid w:val="007B7D05"/>
    <w:rsid w:val="007C01A0"/>
    <w:rsid w:val="007C0BE4"/>
    <w:rsid w:val="007D1956"/>
    <w:rsid w:val="007D38C1"/>
    <w:rsid w:val="007D3F8C"/>
    <w:rsid w:val="007D5517"/>
    <w:rsid w:val="007D5ECA"/>
    <w:rsid w:val="007D6A9D"/>
    <w:rsid w:val="007D720E"/>
    <w:rsid w:val="007D7358"/>
    <w:rsid w:val="007D7E8E"/>
    <w:rsid w:val="007E3FB2"/>
    <w:rsid w:val="007F33E8"/>
    <w:rsid w:val="007F3F71"/>
    <w:rsid w:val="007F484F"/>
    <w:rsid w:val="007F4B3B"/>
    <w:rsid w:val="007F5B3E"/>
    <w:rsid w:val="0080076E"/>
    <w:rsid w:val="008055EE"/>
    <w:rsid w:val="00811078"/>
    <w:rsid w:val="008118EE"/>
    <w:rsid w:val="0081299E"/>
    <w:rsid w:val="0081320B"/>
    <w:rsid w:val="00815E1F"/>
    <w:rsid w:val="008205CE"/>
    <w:rsid w:val="00820A69"/>
    <w:rsid w:val="00822978"/>
    <w:rsid w:val="0082324D"/>
    <w:rsid w:val="00826097"/>
    <w:rsid w:val="00827336"/>
    <w:rsid w:val="008277AD"/>
    <w:rsid w:val="00834D0A"/>
    <w:rsid w:val="00836405"/>
    <w:rsid w:val="00836C30"/>
    <w:rsid w:val="00842B77"/>
    <w:rsid w:val="00844E6F"/>
    <w:rsid w:val="0084550E"/>
    <w:rsid w:val="008473CC"/>
    <w:rsid w:val="00857690"/>
    <w:rsid w:val="008656E9"/>
    <w:rsid w:val="00865FAD"/>
    <w:rsid w:val="00870434"/>
    <w:rsid w:val="0087436C"/>
    <w:rsid w:val="00874FF5"/>
    <w:rsid w:val="00885E23"/>
    <w:rsid w:val="00886803"/>
    <w:rsid w:val="00886E5E"/>
    <w:rsid w:val="00890F61"/>
    <w:rsid w:val="008A08F7"/>
    <w:rsid w:val="008A3470"/>
    <w:rsid w:val="008B01A7"/>
    <w:rsid w:val="008B2D5D"/>
    <w:rsid w:val="008B541D"/>
    <w:rsid w:val="008B6FE1"/>
    <w:rsid w:val="008B7782"/>
    <w:rsid w:val="008B7D95"/>
    <w:rsid w:val="008C0E5C"/>
    <w:rsid w:val="008C3107"/>
    <w:rsid w:val="008C663E"/>
    <w:rsid w:val="008C6679"/>
    <w:rsid w:val="008C69D3"/>
    <w:rsid w:val="008C69DF"/>
    <w:rsid w:val="008C73EF"/>
    <w:rsid w:val="008E0305"/>
    <w:rsid w:val="008E1932"/>
    <w:rsid w:val="008E350A"/>
    <w:rsid w:val="008E4687"/>
    <w:rsid w:val="008F4C16"/>
    <w:rsid w:val="008F5295"/>
    <w:rsid w:val="008F6CFF"/>
    <w:rsid w:val="00901213"/>
    <w:rsid w:val="00901FDB"/>
    <w:rsid w:val="00905F47"/>
    <w:rsid w:val="00911D08"/>
    <w:rsid w:val="0091222C"/>
    <w:rsid w:val="009144FC"/>
    <w:rsid w:val="009147C2"/>
    <w:rsid w:val="0091490E"/>
    <w:rsid w:val="00916DF9"/>
    <w:rsid w:val="00917656"/>
    <w:rsid w:val="00921293"/>
    <w:rsid w:val="00930DE3"/>
    <w:rsid w:val="00934EDA"/>
    <w:rsid w:val="00940334"/>
    <w:rsid w:val="009424A8"/>
    <w:rsid w:val="009438C8"/>
    <w:rsid w:val="0094457D"/>
    <w:rsid w:val="00944C1D"/>
    <w:rsid w:val="00947D62"/>
    <w:rsid w:val="00952BA9"/>
    <w:rsid w:val="009544F8"/>
    <w:rsid w:val="009545BC"/>
    <w:rsid w:val="00954B4E"/>
    <w:rsid w:val="00957A7E"/>
    <w:rsid w:val="00960AF7"/>
    <w:rsid w:val="00961821"/>
    <w:rsid w:val="00962F6D"/>
    <w:rsid w:val="00965DC9"/>
    <w:rsid w:val="00972155"/>
    <w:rsid w:val="00974FD4"/>
    <w:rsid w:val="00977A64"/>
    <w:rsid w:val="0098168B"/>
    <w:rsid w:val="0098397D"/>
    <w:rsid w:val="009867A6"/>
    <w:rsid w:val="00987F08"/>
    <w:rsid w:val="009901B0"/>
    <w:rsid w:val="00990D0D"/>
    <w:rsid w:val="00991D39"/>
    <w:rsid w:val="00996C56"/>
    <w:rsid w:val="00996F5C"/>
    <w:rsid w:val="009A070D"/>
    <w:rsid w:val="009A2044"/>
    <w:rsid w:val="009A417D"/>
    <w:rsid w:val="009A4D19"/>
    <w:rsid w:val="009A72B1"/>
    <w:rsid w:val="009B0FE9"/>
    <w:rsid w:val="009B137F"/>
    <w:rsid w:val="009B30C6"/>
    <w:rsid w:val="009C058B"/>
    <w:rsid w:val="009C36E0"/>
    <w:rsid w:val="009C3BB4"/>
    <w:rsid w:val="009C4253"/>
    <w:rsid w:val="009D0205"/>
    <w:rsid w:val="009D4CEC"/>
    <w:rsid w:val="009D5056"/>
    <w:rsid w:val="009D5B96"/>
    <w:rsid w:val="009E30F3"/>
    <w:rsid w:val="009E49DD"/>
    <w:rsid w:val="009E6E5E"/>
    <w:rsid w:val="009E759D"/>
    <w:rsid w:val="009F5A94"/>
    <w:rsid w:val="009F7481"/>
    <w:rsid w:val="00A00BAD"/>
    <w:rsid w:val="00A02D0F"/>
    <w:rsid w:val="00A05C5E"/>
    <w:rsid w:val="00A062B0"/>
    <w:rsid w:val="00A07C7C"/>
    <w:rsid w:val="00A11496"/>
    <w:rsid w:val="00A11ACB"/>
    <w:rsid w:val="00A12A02"/>
    <w:rsid w:val="00A12CAC"/>
    <w:rsid w:val="00A14552"/>
    <w:rsid w:val="00A15974"/>
    <w:rsid w:val="00A16DB0"/>
    <w:rsid w:val="00A21783"/>
    <w:rsid w:val="00A2469B"/>
    <w:rsid w:val="00A247C2"/>
    <w:rsid w:val="00A259E0"/>
    <w:rsid w:val="00A318A9"/>
    <w:rsid w:val="00A31A18"/>
    <w:rsid w:val="00A36D2E"/>
    <w:rsid w:val="00A4326A"/>
    <w:rsid w:val="00A460BD"/>
    <w:rsid w:val="00A46520"/>
    <w:rsid w:val="00A50BF3"/>
    <w:rsid w:val="00A53671"/>
    <w:rsid w:val="00A60101"/>
    <w:rsid w:val="00A60EE9"/>
    <w:rsid w:val="00A720D4"/>
    <w:rsid w:val="00A72A94"/>
    <w:rsid w:val="00A77756"/>
    <w:rsid w:val="00A86102"/>
    <w:rsid w:val="00A87EAF"/>
    <w:rsid w:val="00A92C6B"/>
    <w:rsid w:val="00A94980"/>
    <w:rsid w:val="00A96E60"/>
    <w:rsid w:val="00AA2DFB"/>
    <w:rsid w:val="00AA43A2"/>
    <w:rsid w:val="00AB0153"/>
    <w:rsid w:val="00AB4047"/>
    <w:rsid w:val="00AB49C4"/>
    <w:rsid w:val="00AB504C"/>
    <w:rsid w:val="00AB54D4"/>
    <w:rsid w:val="00AC38EA"/>
    <w:rsid w:val="00AC5592"/>
    <w:rsid w:val="00AC71EA"/>
    <w:rsid w:val="00AE04F6"/>
    <w:rsid w:val="00AE3DD4"/>
    <w:rsid w:val="00AE46B9"/>
    <w:rsid w:val="00AF1FAD"/>
    <w:rsid w:val="00AF348C"/>
    <w:rsid w:val="00B02A79"/>
    <w:rsid w:val="00B04A0D"/>
    <w:rsid w:val="00B058E1"/>
    <w:rsid w:val="00B0629C"/>
    <w:rsid w:val="00B12368"/>
    <w:rsid w:val="00B148CB"/>
    <w:rsid w:val="00B15A3E"/>
    <w:rsid w:val="00B160F2"/>
    <w:rsid w:val="00B204DD"/>
    <w:rsid w:val="00B21683"/>
    <w:rsid w:val="00B22043"/>
    <w:rsid w:val="00B22B3A"/>
    <w:rsid w:val="00B31ACE"/>
    <w:rsid w:val="00B340FE"/>
    <w:rsid w:val="00B4159A"/>
    <w:rsid w:val="00B42F46"/>
    <w:rsid w:val="00B4386C"/>
    <w:rsid w:val="00B45956"/>
    <w:rsid w:val="00B47D66"/>
    <w:rsid w:val="00B54016"/>
    <w:rsid w:val="00B5496A"/>
    <w:rsid w:val="00B618F1"/>
    <w:rsid w:val="00B62EBD"/>
    <w:rsid w:val="00B633F0"/>
    <w:rsid w:val="00B63532"/>
    <w:rsid w:val="00B72516"/>
    <w:rsid w:val="00B74BC6"/>
    <w:rsid w:val="00B801E9"/>
    <w:rsid w:val="00B84FC0"/>
    <w:rsid w:val="00BA1616"/>
    <w:rsid w:val="00BB07D0"/>
    <w:rsid w:val="00BB209B"/>
    <w:rsid w:val="00BB7479"/>
    <w:rsid w:val="00BB7A5C"/>
    <w:rsid w:val="00BC64DF"/>
    <w:rsid w:val="00BC74E6"/>
    <w:rsid w:val="00BD00F6"/>
    <w:rsid w:val="00BD2811"/>
    <w:rsid w:val="00BD2D30"/>
    <w:rsid w:val="00BD34F9"/>
    <w:rsid w:val="00BD46AB"/>
    <w:rsid w:val="00BD4A96"/>
    <w:rsid w:val="00BD6556"/>
    <w:rsid w:val="00BD663F"/>
    <w:rsid w:val="00BD749F"/>
    <w:rsid w:val="00BE50DC"/>
    <w:rsid w:val="00BF295F"/>
    <w:rsid w:val="00BF6728"/>
    <w:rsid w:val="00BF75A6"/>
    <w:rsid w:val="00C032EF"/>
    <w:rsid w:val="00C0637A"/>
    <w:rsid w:val="00C10614"/>
    <w:rsid w:val="00C120B8"/>
    <w:rsid w:val="00C13CEA"/>
    <w:rsid w:val="00C15E1C"/>
    <w:rsid w:val="00C201D4"/>
    <w:rsid w:val="00C2112C"/>
    <w:rsid w:val="00C2589C"/>
    <w:rsid w:val="00C3276D"/>
    <w:rsid w:val="00C3480A"/>
    <w:rsid w:val="00C4059B"/>
    <w:rsid w:val="00C40856"/>
    <w:rsid w:val="00C41029"/>
    <w:rsid w:val="00C43DC7"/>
    <w:rsid w:val="00C4488E"/>
    <w:rsid w:val="00C45369"/>
    <w:rsid w:val="00C523BA"/>
    <w:rsid w:val="00C66210"/>
    <w:rsid w:val="00C74AF0"/>
    <w:rsid w:val="00C75F28"/>
    <w:rsid w:val="00C800FE"/>
    <w:rsid w:val="00C801D7"/>
    <w:rsid w:val="00C87243"/>
    <w:rsid w:val="00C930EF"/>
    <w:rsid w:val="00CA1D35"/>
    <w:rsid w:val="00CA5E87"/>
    <w:rsid w:val="00CA7D8A"/>
    <w:rsid w:val="00CC27B5"/>
    <w:rsid w:val="00CC49C9"/>
    <w:rsid w:val="00CC6BD6"/>
    <w:rsid w:val="00CD36F8"/>
    <w:rsid w:val="00CD44EB"/>
    <w:rsid w:val="00CD6968"/>
    <w:rsid w:val="00CE1183"/>
    <w:rsid w:val="00CE57DF"/>
    <w:rsid w:val="00CF1EC7"/>
    <w:rsid w:val="00CF51B4"/>
    <w:rsid w:val="00D029EE"/>
    <w:rsid w:val="00D06DEA"/>
    <w:rsid w:val="00D100F1"/>
    <w:rsid w:val="00D117C2"/>
    <w:rsid w:val="00D1364D"/>
    <w:rsid w:val="00D155CD"/>
    <w:rsid w:val="00D232AB"/>
    <w:rsid w:val="00D26E78"/>
    <w:rsid w:val="00D3023C"/>
    <w:rsid w:val="00D34EB9"/>
    <w:rsid w:val="00D41E5C"/>
    <w:rsid w:val="00D4281C"/>
    <w:rsid w:val="00D42FBC"/>
    <w:rsid w:val="00D44FA1"/>
    <w:rsid w:val="00D4690A"/>
    <w:rsid w:val="00D504B0"/>
    <w:rsid w:val="00D51884"/>
    <w:rsid w:val="00D56633"/>
    <w:rsid w:val="00D67487"/>
    <w:rsid w:val="00D674CB"/>
    <w:rsid w:val="00D67D14"/>
    <w:rsid w:val="00D7388C"/>
    <w:rsid w:val="00D74C28"/>
    <w:rsid w:val="00D75EE9"/>
    <w:rsid w:val="00D82B6C"/>
    <w:rsid w:val="00D8769D"/>
    <w:rsid w:val="00DA0DE4"/>
    <w:rsid w:val="00DA1D90"/>
    <w:rsid w:val="00DA6D3D"/>
    <w:rsid w:val="00DA7E0A"/>
    <w:rsid w:val="00DB1015"/>
    <w:rsid w:val="00DB15C1"/>
    <w:rsid w:val="00DB375B"/>
    <w:rsid w:val="00DB4410"/>
    <w:rsid w:val="00DB4719"/>
    <w:rsid w:val="00DC1E78"/>
    <w:rsid w:val="00DC36CD"/>
    <w:rsid w:val="00DC7A34"/>
    <w:rsid w:val="00DC7D6B"/>
    <w:rsid w:val="00DD1089"/>
    <w:rsid w:val="00DD493F"/>
    <w:rsid w:val="00DD4D5B"/>
    <w:rsid w:val="00DD6924"/>
    <w:rsid w:val="00DD777B"/>
    <w:rsid w:val="00DE0202"/>
    <w:rsid w:val="00DE1C19"/>
    <w:rsid w:val="00DE6E27"/>
    <w:rsid w:val="00DE7616"/>
    <w:rsid w:val="00DF37D3"/>
    <w:rsid w:val="00DF7DC0"/>
    <w:rsid w:val="00E00BF8"/>
    <w:rsid w:val="00E06F18"/>
    <w:rsid w:val="00E135C2"/>
    <w:rsid w:val="00E149A8"/>
    <w:rsid w:val="00E16D3D"/>
    <w:rsid w:val="00E22DC7"/>
    <w:rsid w:val="00E23BD7"/>
    <w:rsid w:val="00E25C41"/>
    <w:rsid w:val="00E3081F"/>
    <w:rsid w:val="00E32F0D"/>
    <w:rsid w:val="00E33262"/>
    <w:rsid w:val="00E33B0F"/>
    <w:rsid w:val="00E33F56"/>
    <w:rsid w:val="00E403AD"/>
    <w:rsid w:val="00E404F0"/>
    <w:rsid w:val="00E4096F"/>
    <w:rsid w:val="00E45B8E"/>
    <w:rsid w:val="00E4612D"/>
    <w:rsid w:val="00E505D8"/>
    <w:rsid w:val="00E51399"/>
    <w:rsid w:val="00E529DB"/>
    <w:rsid w:val="00E54F6E"/>
    <w:rsid w:val="00E5586B"/>
    <w:rsid w:val="00E56364"/>
    <w:rsid w:val="00E56C67"/>
    <w:rsid w:val="00E638D7"/>
    <w:rsid w:val="00E640FF"/>
    <w:rsid w:val="00E659D2"/>
    <w:rsid w:val="00E66E92"/>
    <w:rsid w:val="00E67D85"/>
    <w:rsid w:val="00E67DEA"/>
    <w:rsid w:val="00E736ED"/>
    <w:rsid w:val="00E7724E"/>
    <w:rsid w:val="00E77A20"/>
    <w:rsid w:val="00E803C5"/>
    <w:rsid w:val="00E81256"/>
    <w:rsid w:val="00E833C1"/>
    <w:rsid w:val="00E852E9"/>
    <w:rsid w:val="00E86D3B"/>
    <w:rsid w:val="00E92051"/>
    <w:rsid w:val="00E9309E"/>
    <w:rsid w:val="00E951C3"/>
    <w:rsid w:val="00E954F4"/>
    <w:rsid w:val="00EA10E6"/>
    <w:rsid w:val="00EA2A33"/>
    <w:rsid w:val="00EA3A17"/>
    <w:rsid w:val="00EA4A5D"/>
    <w:rsid w:val="00EA63F6"/>
    <w:rsid w:val="00EA68FD"/>
    <w:rsid w:val="00EA7B65"/>
    <w:rsid w:val="00EB072F"/>
    <w:rsid w:val="00EB47B1"/>
    <w:rsid w:val="00EC1055"/>
    <w:rsid w:val="00EC18C3"/>
    <w:rsid w:val="00EC32A4"/>
    <w:rsid w:val="00EC528B"/>
    <w:rsid w:val="00EC73F6"/>
    <w:rsid w:val="00ED4333"/>
    <w:rsid w:val="00ED5A96"/>
    <w:rsid w:val="00ED6C06"/>
    <w:rsid w:val="00EE1C31"/>
    <w:rsid w:val="00EF12DE"/>
    <w:rsid w:val="00EF2F6D"/>
    <w:rsid w:val="00F05BF6"/>
    <w:rsid w:val="00F12140"/>
    <w:rsid w:val="00F15B6F"/>
    <w:rsid w:val="00F16268"/>
    <w:rsid w:val="00F16409"/>
    <w:rsid w:val="00F17C4A"/>
    <w:rsid w:val="00F21547"/>
    <w:rsid w:val="00F257E8"/>
    <w:rsid w:val="00F316E9"/>
    <w:rsid w:val="00F3189C"/>
    <w:rsid w:val="00F319EB"/>
    <w:rsid w:val="00F34AA4"/>
    <w:rsid w:val="00F359AC"/>
    <w:rsid w:val="00F42713"/>
    <w:rsid w:val="00F476E5"/>
    <w:rsid w:val="00F50F8E"/>
    <w:rsid w:val="00F53B99"/>
    <w:rsid w:val="00F53C82"/>
    <w:rsid w:val="00F56E9B"/>
    <w:rsid w:val="00F66CF9"/>
    <w:rsid w:val="00F7437B"/>
    <w:rsid w:val="00F7543D"/>
    <w:rsid w:val="00F75B31"/>
    <w:rsid w:val="00F7625D"/>
    <w:rsid w:val="00F7688C"/>
    <w:rsid w:val="00F76A1D"/>
    <w:rsid w:val="00F80024"/>
    <w:rsid w:val="00F812A1"/>
    <w:rsid w:val="00F81D60"/>
    <w:rsid w:val="00F841E7"/>
    <w:rsid w:val="00F85B65"/>
    <w:rsid w:val="00F8655B"/>
    <w:rsid w:val="00F87E88"/>
    <w:rsid w:val="00F917A6"/>
    <w:rsid w:val="00F9305C"/>
    <w:rsid w:val="00FA1539"/>
    <w:rsid w:val="00FA52FB"/>
    <w:rsid w:val="00FC429B"/>
    <w:rsid w:val="00FD5D2C"/>
    <w:rsid w:val="00FD6111"/>
    <w:rsid w:val="00FD64CF"/>
    <w:rsid w:val="00FE559E"/>
    <w:rsid w:val="00FE55AA"/>
    <w:rsid w:val="00FF09DF"/>
    <w:rsid w:val="00FF55F5"/>
    <w:rsid w:val="00FF70FE"/>
    <w:rsid w:val="00FF772A"/>
    <w:rsid w:val="017A6034"/>
    <w:rsid w:val="032D1FCC"/>
    <w:rsid w:val="049F5F16"/>
    <w:rsid w:val="05730C78"/>
    <w:rsid w:val="05732DB8"/>
    <w:rsid w:val="08202194"/>
    <w:rsid w:val="09D2264C"/>
    <w:rsid w:val="0AF60D87"/>
    <w:rsid w:val="0CB02A6C"/>
    <w:rsid w:val="0CED47EF"/>
    <w:rsid w:val="0D8D2A81"/>
    <w:rsid w:val="0DDF326D"/>
    <w:rsid w:val="0E0064C2"/>
    <w:rsid w:val="0ED035D9"/>
    <w:rsid w:val="108046C5"/>
    <w:rsid w:val="154F6C1C"/>
    <w:rsid w:val="156342AE"/>
    <w:rsid w:val="15D0741D"/>
    <w:rsid w:val="180321B0"/>
    <w:rsid w:val="180A6743"/>
    <w:rsid w:val="18523FD5"/>
    <w:rsid w:val="19720E56"/>
    <w:rsid w:val="19B7599D"/>
    <w:rsid w:val="19ED1E75"/>
    <w:rsid w:val="1A5B718E"/>
    <w:rsid w:val="201406D5"/>
    <w:rsid w:val="20820676"/>
    <w:rsid w:val="21A67CFB"/>
    <w:rsid w:val="221E6B10"/>
    <w:rsid w:val="234D3DF3"/>
    <w:rsid w:val="23587152"/>
    <w:rsid w:val="250E2DA3"/>
    <w:rsid w:val="254211E4"/>
    <w:rsid w:val="26943332"/>
    <w:rsid w:val="26B43D14"/>
    <w:rsid w:val="270750AC"/>
    <w:rsid w:val="27657622"/>
    <w:rsid w:val="27A75C80"/>
    <w:rsid w:val="285427CF"/>
    <w:rsid w:val="2A892981"/>
    <w:rsid w:val="2B9E52E9"/>
    <w:rsid w:val="2C042DFC"/>
    <w:rsid w:val="2C1C0CBD"/>
    <w:rsid w:val="2C272F9B"/>
    <w:rsid w:val="2CE04EB4"/>
    <w:rsid w:val="2CE50D41"/>
    <w:rsid w:val="2E753F1D"/>
    <w:rsid w:val="2F0807AD"/>
    <w:rsid w:val="30543F61"/>
    <w:rsid w:val="31233E36"/>
    <w:rsid w:val="31935C15"/>
    <w:rsid w:val="31F3247E"/>
    <w:rsid w:val="34667069"/>
    <w:rsid w:val="398017A0"/>
    <w:rsid w:val="3B280155"/>
    <w:rsid w:val="3C9E7B8B"/>
    <w:rsid w:val="3CAB1868"/>
    <w:rsid w:val="3F712235"/>
    <w:rsid w:val="407B6030"/>
    <w:rsid w:val="40A118D2"/>
    <w:rsid w:val="40DE52CE"/>
    <w:rsid w:val="40F80B6D"/>
    <w:rsid w:val="41294390"/>
    <w:rsid w:val="41674544"/>
    <w:rsid w:val="4205460C"/>
    <w:rsid w:val="44CF13AB"/>
    <w:rsid w:val="44E53C8F"/>
    <w:rsid w:val="472701A9"/>
    <w:rsid w:val="472B3D15"/>
    <w:rsid w:val="4C94279B"/>
    <w:rsid w:val="4CE13626"/>
    <w:rsid w:val="4D4F2444"/>
    <w:rsid w:val="4E3055CC"/>
    <w:rsid w:val="4E307C0E"/>
    <w:rsid w:val="4F3D7A6D"/>
    <w:rsid w:val="4FA706DA"/>
    <w:rsid w:val="4FFF6185"/>
    <w:rsid w:val="51513963"/>
    <w:rsid w:val="52522FB8"/>
    <w:rsid w:val="52627B39"/>
    <w:rsid w:val="54C70D29"/>
    <w:rsid w:val="55DA1EB6"/>
    <w:rsid w:val="56DA2C92"/>
    <w:rsid w:val="574B03F2"/>
    <w:rsid w:val="578C415C"/>
    <w:rsid w:val="5B882DDC"/>
    <w:rsid w:val="5BE53D68"/>
    <w:rsid w:val="5C996166"/>
    <w:rsid w:val="5E125581"/>
    <w:rsid w:val="5EAF1660"/>
    <w:rsid w:val="60325CF1"/>
    <w:rsid w:val="6336684C"/>
    <w:rsid w:val="63653147"/>
    <w:rsid w:val="63CC4061"/>
    <w:rsid w:val="64470770"/>
    <w:rsid w:val="645E00FE"/>
    <w:rsid w:val="64BC644C"/>
    <w:rsid w:val="65840F67"/>
    <w:rsid w:val="67740FC1"/>
    <w:rsid w:val="69534F9C"/>
    <w:rsid w:val="69B86300"/>
    <w:rsid w:val="6A617C9B"/>
    <w:rsid w:val="6A9B19EC"/>
    <w:rsid w:val="6AA316BF"/>
    <w:rsid w:val="6BC366F5"/>
    <w:rsid w:val="6DCA1967"/>
    <w:rsid w:val="723926D9"/>
    <w:rsid w:val="72673655"/>
    <w:rsid w:val="738C4FFD"/>
    <w:rsid w:val="74180419"/>
    <w:rsid w:val="75FE495B"/>
    <w:rsid w:val="761B76AD"/>
    <w:rsid w:val="77971D84"/>
    <w:rsid w:val="78DB4ABC"/>
    <w:rsid w:val="7D202353"/>
    <w:rsid w:val="7D421030"/>
    <w:rsid w:val="7DF3749F"/>
    <w:rsid w:val="7E1C0081"/>
    <w:rsid w:val="7E80174B"/>
    <w:rsid w:val="7F226C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unhideWhenUsed/>
    <w:qFormat/>
    <w:pPr>
      <w:keepNext/>
      <w:keepLines/>
      <w:widowControl w:val="0"/>
      <w:spacing w:after="0" w:line="416" w:lineRule="auto"/>
      <w:jc w:val="both"/>
      <w:outlineLvl w:val="2"/>
    </w:pPr>
    <w:rPr>
      <w:b/>
      <w:bCs/>
      <w:kern w:val="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spacing w:after="0" w:line="240" w:lineRule="auto"/>
      <w:jc w:val="both"/>
    </w:pPr>
    <w:rPr>
      <w:rFonts w:asciiTheme="majorHAnsi" w:hAnsiTheme="majorHAnsi" w:cstheme="majorBidi"/>
      <w:b/>
      <w:kern w:val="2"/>
      <w:sz w:val="24"/>
      <w:szCs w:val="20"/>
    </w:rPr>
  </w:style>
  <w:style w:type="paragraph" w:styleId="a4">
    <w:name w:val="annotation text"/>
    <w:basedOn w:val="a"/>
    <w:link w:val="Char"/>
    <w:uiPriority w:val="99"/>
    <w:semiHidden/>
    <w:unhideWhenUsed/>
    <w:qFormat/>
    <w:pPr>
      <w:spacing w:line="240" w:lineRule="auto"/>
    </w:pPr>
    <w:rPr>
      <w:sz w:val="20"/>
      <w:szCs w:val="20"/>
    </w:rPr>
  </w:style>
  <w:style w:type="paragraph" w:styleId="a5">
    <w:name w:val="Balloon Text"/>
    <w:basedOn w:val="a"/>
    <w:link w:val="Char0"/>
    <w:uiPriority w:val="99"/>
    <w:semiHidden/>
    <w:unhideWhenUsed/>
    <w:qFormat/>
    <w:pPr>
      <w:spacing w:after="0" w:line="240" w:lineRule="auto"/>
    </w:pPr>
    <w:rPr>
      <w:rFonts w:ascii="Segoe UI" w:hAnsi="Segoe UI" w:cs="Segoe UI"/>
      <w:sz w:val="18"/>
      <w:szCs w:val="18"/>
    </w:rPr>
  </w:style>
  <w:style w:type="paragraph" w:styleId="a6">
    <w:name w:val="footer"/>
    <w:basedOn w:val="a"/>
    <w:link w:val="Char1"/>
    <w:uiPriority w:val="99"/>
    <w:unhideWhenUsed/>
    <w:qFormat/>
    <w:pPr>
      <w:tabs>
        <w:tab w:val="center" w:pos="4320"/>
        <w:tab w:val="right" w:pos="8640"/>
      </w:tabs>
      <w:spacing w:after="0" w:line="240" w:lineRule="auto"/>
    </w:pPr>
  </w:style>
  <w:style w:type="paragraph" w:styleId="a7">
    <w:name w:val="header"/>
    <w:basedOn w:val="a"/>
    <w:link w:val="Char2"/>
    <w:uiPriority w:val="99"/>
    <w:unhideWhenUsed/>
    <w:qFormat/>
    <w:pPr>
      <w:tabs>
        <w:tab w:val="center" w:pos="4320"/>
        <w:tab w:val="right" w:pos="8640"/>
      </w:tabs>
      <w:spacing w:after="0" w:line="240" w:lineRule="auto"/>
    </w:pPr>
  </w:style>
  <w:style w:type="paragraph" w:styleId="a8">
    <w:name w:val="Normal (Web)"/>
    <w:basedOn w:val="a"/>
    <w:uiPriority w:val="99"/>
    <w:unhideWhenUsed/>
    <w:qFormat/>
    <w:pPr>
      <w:spacing w:before="100" w:beforeAutospacing="1" w:after="100" w:afterAutospacing="1" w:line="240" w:lineRule="auto"/>
    </w:pPr>
    <w:rPr>
      <w:rFonts w:ascii="宋体" w:eastAsia="宋体" w:hAnsi="宋体" w:cs="宋体"/>
      <w:sz w:val="24"/>
      <w:szCs w:val="24"/>
    </w:rPr>
  </w:style>
  <w:style w:type="paragraph" w:styleId="a9">
    <w:name w:val="annotation subject"/>
    <w:basedOn w:val="a4"/>
    <w:next w:val="a4"/>
    <w:link w:val="Char3"/>
    <w:uiPriority w:val="99"/>
    <w:semiHidden/>
    <w:unhideWhenUsed/>
    <w:qFormat/>
    <w:rPr>
      <w:b/>
      <w:bCs/>
    </w:rPr>
  </w:style>
  <w:style w:type="table" w:styleId="aa">
    <w:name w:val="Table Grid"/>
    <w:basedOn w:val="a1"/>
    <w:uiPriority w:val="39"/>
    <w:qFormat/>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u w:val="single"/>
    </w:rPr>
  </w:style>
  <w:style w:type="character" w:styleId="ac">
    <w:name w:val="annotation reference"/>
    <w:basedOn w:val="a0"/>
    <w:uiPriority w:val="99"/>
    <w:semiHidden/>
    <w:unhideWhenUsed/>
    <w:qFormat/>
    <w:rPr>
      <w:sz w:val="16"/>
      <w:szCs w:val="16"/>
    </w:rPr>
  </w:style>
  <w:style w:type="paragraph" w:styleId="ad">
    <w:name w:val="List Paragraph"/>
    <w:basedOn w:val="a"/>
    <w:uiPriority w:val="34"/>
    <w:qFormat/>
    <w:pPr>
      <w:ind w:left="720"/>
      <w:contextualSpacing/>
    </w:pPr>
  </w:style>
  <w:style w:type="character" w:customStyle="1" w:styleId="3Char">
    <w:name w:val="标题 3 Char"/>
    <w:basedOn w:val="a0"/>
    <w:link w:val="3"/>
    <w:uiPriority w:val="9"/>
    <w:qFormat/>
    <w:rPr>
      <w:b/>
      <w:bCs/>
      <w:kern w:val="2"/>
      <w:sz w:val="24"/>
      <w:szCs w:val="32"/>
    </w:rPr>
  </w:style>
  <w:style w:type="character" w:customStyle="1" w:styleId="Char2">
    <w:name w:val="页眉 Char"/>
    <w:basedOn w:val="a0"/>
    <w:link w:val="a7"/>
    <w:uiPriority w:val="99"/>
    <w:qFormat/>
  </w:style>
  <w:style w:type="character" w:customStyle="1" w:styleId="Char1">
    <w:name w:val="页脚 Char"/>
    <w:basedOn w:val="a0"/>
    <w:link w:val="a6"/>
    <w:uiPriority w:val="99"/>
    <w:qFormat/>
  </w:style>
  <w:style w:type="table" w:customStyle="1" w:styleId="PlainTable21">
    <w:name w:val="Plain Table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
    <w:name w:val="批注文字 Char"/>
    <w:basedOn w:val="a0"/>
    <w:link w:val="a4"/>
    <w:uiPriority w:val="99"/>
    <w:semiHidden/>
    <w:qFormat/>
    <w:rPr>
      <w:sz w:val="20"/>
      <w:szCs w:val="20"/>
    </w:rPr>
  </w:style>
  <w:style w:type="character" w:customStyle="1" w:styleId="Char3">
    <w:name w:val="批注主题 Char"/>
    <w:basedOn w:val="Char"/>
    <w:link w:val="a9"/>
    <w:uiPriority w:val="99"/>
    <w:semiHidden/>
    <w:qFormat/>
    <w:rPr>
      <w:b/>
      <w:bCs/>
      <w:sz w:val="20"/>
      <w:szCs w:val="20"/>
    </w:rPr>
  </w:style>
  <w:style w:type="paragraph" w:customStyle="1" w:styleId="Revision1">
    <w:name w:val="Revision1"/>
    <w:hidden/>
    <w:uiPriority w:val="99"/>
    <w:semiHidden/>
    <w:qFormat/>
    <w:rPr>
      <w:rFonts w:asciiTheme="minorHAnsi" w:eastAsiaTheme="minorEastAsia" w:hAnsiTheme="minorHAnsi" w:cstheme="minorBidi"/>
      <w:sz w:val="22"/>
      <w:szCs w:val="22"/>
    </w:rPr>
  </w:style>
  <w:style w:type="character" w:customStyle="1" w:styleId="Char0">
    <w:name w:val="批注框文本 Char"/>
    <w:basedOn w:val="a0"/>
    <w:link w:val="a5"/>
    <w:uiPriority w:val="99"/>
    <w:semiHidden/>
    <w:qFormat/>
    <w:rPr>
      <w:rFonts w:ascii="Segoe UI" w:hAnsi="Segoe UI" w:cs="Segoe UI"/>
      <w:sz w:val="18"/>
      <w:szCs w:val="18"/>
    </w:rPr>
  </w:style>
  <w:style w:type="character" w:customStyle="1" w:styleId="1Char">
    <w:name w:val="标题 1 Char"/>
    <w:basedOn w:val="a0"/>
    <w:link w:val="1"/>
    <w:uiPriority w:val="9"/>
    <w:qFormat/>
    <w:rPr>
      <w:rFonts w:asciiTheme="majorHAnsi" w:eastAsiaTheme="majorEastAsia" w:hAnsiTheme="majorHAnsi" w:cstheme="majorBidi"/>
      <w:color w:val="2F5496" w:themeColor="accent1" w:themeShade="BF"/>
      <w:sz w:val="32"/>
      <w:szCs w:val="32"/>
    </w:rPr>
  </w:style>
  <w:style w:type="character" w:customStyle="1" w:styleId="highlight">
    <w:name w:val="highlight"/>
    <w:basedOn w:val="a0"/>
    <w:qFormat/>
  </w:style>
  <w:style w:type="character" w:customStyle="1" w:styleId="refpages">
    <w:name w:val="refpages"/>
    <w:basedOn w:val="a0"/>
    <w:qFormat/>
  </w:style>
  <w:style w:type="paragraph" w:customStyle="1" w:styleId="10">
    <w:name w:val="修订1"/>
    <w:hidden/>
    <w:uiPriority w:val="99"/>
    <w:unhideWhenUsed/>
    <w:qFormat/>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unhideWhenUsed/>
    <w:qFormat/>
    <w:pPr>
      <w:keepNext/>
      <w:keepLines/>
      <w:widowControl w:val="0"/>
      <w:spacing w:after="0" w:line="416" w:lineRule="auto"/>
      <w:jc w:val="both"/>
      <w:outlineLvl w:val="2"/>
    </w:pPr>
    <w:rPr>
      <w:b/>
      <w:bCs/>
      <w:kern w:val="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spacing w:after="0" w:line="240" w:lineRule="auto"/>
      <w:jc w:val="both"/>
    </w:pPr>
    <w:rPr>
      <w:rFonts w:asciiTheme="majorHAnsi" w:hAnsiTheme="majorHAnsi" w:cstheme="majorBidi"/>
      <w:b/>
      <w:kern w:val="2"/>
      <w:sz w:val="24"/>
      <w:szCs w:val="20"/>
    </w:rPr>
  </w:style>
  <w:style w:type="paragraph" w:styleId="a4">
    <w:name w:val="annotation text"/>
    <w:basedOn w:val="a"/>
    <w:link w:val="Char"/>
    <w:uiPriority w:val="99"/>
    <w:semiHidden/>
    <w:unhideWhenUsed/>
    <w:qFormat/>
    <w:pPr>
      <w:spacing w:line="240" w:lineRule="auto"/>
    </w:pPr>
    <w:rPr>
      <w:sz w:val="20"/>
      <w:szCs w:val="20"/>
    </w:rPr>
  </w:style>
  <w:style w:type="paragraph" w:styleId="a5">
    <w:name w:val="Balloon Text"/>
    <w:basedOn w:val="a"/>
    <w:link w:val="Char0"/>
    <w:uiPriority w:val="99"/>
    <w:semiHidden/>
    <w:unhideWhenUsed/>
    <w:qFormat/>
    <w:pPr>
      <w:spacing w:after="0" w:line="240" w:lineRule="auto"/>
    </w:pPr>
    <w:rPr>
      <w:rFonts w:ascii="Segoe UI" w:hAnsi="Segoe UI" w:cs="Segoe UI"/>
      <w:sz w:val="18"/>
      <w:szCs w:val="18"/>
    </w:rPr>
  </w:style>
  <w:style w:type="paragraph" w:styleId="a6">
    <w:name w:val="footer"/>
    <w:basedOn w:val="a"/>
    <w:link w:val="Char1"/>
    <w:uiPriority w:val="99"/>
    <w:unhideWhenUsed/>
    <w:qFormat/>
    <w:pPr>
      <w:tabs>
        <w:tab w:val="center" w:pos="4320"/>
        <w:tab w:val="right" w:pos="8640"/>
      </w:tabs>
      <w:spacing w:after="0" w:line="240" w:lineRule="auto"/>
    </w:pPr>
  </w:style>
  <w:style w:type="paragraph" w:styleId="a7">
    <w:name w:val="header"/>
    <w:basedOn w:val="a"/>
    <w:link w:val="Char2"/>
    <w:uiPriority w:val="99"/>
    <w:unhideWhenUsed/>
    <w:qFormat/>
    <w:pPr>
      <w:tabs>
        <w:tab w:val="center" w:pos="4320"/>
        <w:tab w:val="right" w:pos="8640"/>
      </w:tabs>
      <w:spacing w:after="0" w:line="240" w:lineRule="auto"/>
    </w:pPr>
  </w:style>
  <w:style w:type="paragraph" w:styleId="a8">
    <w:name w:val="Normal (Web)"/>
    <w:basedOn w:val="a"/>
    <w:uiPriority w:val="99"/>
    <w:unhideWhenUsed/>
    <w:qFormat/>
    <w:pPr>
      <w:spacing w:before="100" w:beforeAutospacing="1" w:after="100" w:afterAutospacing="1" w:line="240" w:lineRule="auto"/>
    </w:pPr>
    <w:rPr>
      <w:rFonts w:ascii="宋体" w:eastAsia="宋体" w:hAnsi="宋体" w:cs="宋体"/>
      <w:sz w:val="24"/>
      <w:szCs w:val="24"/>
    </w:rPr>
  </w:style>
  <w:style w:type="paragraph" w:styleId="a9">
    <w:name w:val="annotation subject"/>
    <w:basedOn w:val="a4"/>
    <w:next w:val="a4"/>
    <w:link w:val="Char3"/>
    <w:uiPriority w:val="99"/>
    <w:semiHidden/>
    <w:unhideWhenUsed/>
    <w:qFormat/>
    <w:rPr>
      <w:b/>
      <w:bCs/>
    </w:rPr>
  </w:style>
  <w:style w:type="table" w:styleId="aa">
    <w:name w:val="Table Grid"/>
    <w:basedOn w:val="a1"/>
    <w:uiPriority w:val="39"/>
    <w:qFormat/>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u w:val="single"/>
    </w:rPr>
  </w:style>
  <w:style w:type="character" w:styleId="ac">
    <w:name w:val="annotation reference"/>
    <w:basedOn w:val="a0"/>
    <w:uiPriority w:val="99"/>
    <w:semiHidden/>
    <w:unhideWhenUsed/>
    <w:qFormat/>
    <w:rPr>
      <w:sz w:val="16"/>
      <w:szCs w:val="16"/>
    </w:rPr>
  </w:style>
  <w:style w:type="paragraph" w:styleId="ad">
    <w:name w:val="List Paragraph"/>
    <w:basedOn w:val="a"/>
    <w:uiPriority w:val="34"/>
    <w:qFormat/>
    <w:pPr>
      <w:ind w:left="720"/>
      <w:contextualSpacing/>
    </w:pPr>
  </w:style>
  <w:style w:type="character" w:customStyle="1" w:styleId="3Char">
    <w:name w:val="标题 3 Char"/>
    <w:basedOn w:val="a0"/>
    <w:link w:val="3"/>
    <w:uiPriority w:val="9"/>
    <w:qFormat/>
    <w:rPr>
      <w:b/>
      <w:bCs/>
      <w:kern w:val="2"/>
      <w:sz w:val="24"/>
      <w:szCs w:val="32"/>
    </w:rPr>
  </w:style>
  <w:style w:type="character" w:customStyle="1" w:styleId="Char2">
    <w:name w:val="页眉 Char"/>
    <w:basedOn w:val="a0"/>
    <w:link w:val="a7"/>
    <w:uiPriority w:val="99"/>
    <w:qFormat/>
  </w:style>
  <w:style w:type="character" w:customStyle="1" w:styleId="Char1">
    <w:name w:val="页脚 Char"/>
    <w:basedOn w:val="a0"/>
    <w:link w:val="a6"/>
    <w:uiPriority w:val="99"/>
    <w:qFormat/>
  </w:style>
  <w:style w:type="table" w:customStyle="1" w:styleId="PlainTable21">
    <w:name w:val="Plain Table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
    <w:name w:val="批注文字 Char"/>
    <w:basedOn w:val="a0"/>
    <w:link w:val="a4"/>
    <w:uiPriority w:val="99"/>
    <w:semiHidden/>
    <w:qFormat/>
    <w:rPr>
      <w:sz w:val="20"/>
      <w:szCs w:val="20"/>
    </w:rPr>
  </w:style>
  <w:style w:type="character" w:customStyle="1" w:styleId="Char3">
    <w:name w:val="批注主题 Char"/>
    <w:basedOn w:val="Char"/>
    <w:link w:val="a9"/>
    <w:uiPriority w:val="99"/>
    <w:semiHidden/>
    <w:qFormat/>
    <w:rPr>
      <w:b/>
      <w:bCs/>
      <w:sz w:val="20"/>
      <w:szCs w:val="20"/>
    </w:rPr>
  </w:style>
  <w:style w:type="paragraph" w:customStyle="1" w:styleId="Revision1">
    <w:name w:val="Revision1"/>
    <w:hidden/>
    <w:uiPriority w:val="99"/>
    <w:semiHidden/>
    <w:qFormat/>
    <w:rPr>
      <w:rFonts w:asciiTheme="minorHAnsi" w:eastAsiaTheme="minorEastAsia" w:hAnsiTheme="minorHAnsi" w:cstheme="minorBidi"/>
      <w:sz w:val="22"/>
      <w:szCs w:val="22"/>
    </w:rPr>
  </w:style>
  <w:style w:type="character" w:customStyle="1" w:styleId="Char0">
    <w:name w:val="批注框文本 Char"/>
    <w:basedOn w:val="a0"/>
    <w:link w:val="a5"/>
    <w:uiPriority w:val="99"/>
    <w:semiHidden/>
    <w:qFormat/>
    <w:rPr>
      <w:rFonts w:ascii="Segoe UI" w:hAnsi="Segoe UI" w:cs="Segoe UI"/>
      <w:sz w:val="18"/>
      <w:szCs w:val="18"/>
    </w:rPr>
  </w:style>
  <w:style w:type="character" w:customStyle="1" w:styleId="1Char">
    <w:name w:val="标题 1 Char"/>
    <w:basedOn w:val="a0"/>
    <w:link w:val="1"/>
    <w:uiPriority w:val="9"/>
    <w:qFormat/>
    <w:rPr>
      <w:rFonts w:asciiTheme="majorHAnsi" w:eastAsiaTheme="majorEastAsia" w:hAnsiTheme="majorHAnsi" w:cstheme="majorBidi"/>
      <w:color w:val="2F5496" w:themeColor="accent1" w:themeShade="BF"/>
      <w:sz w:val="32"/>
      <w:szCs w:val="32"/>
    </w:rPr>
  </w:style>
  <w:style w:type="character" w:customStyle="1" w:styleId="highlight">
    <w:name w:val="highlight"/>
    <w:basedOn w:val="a0"/>
    <w:qFormat/>
  </w:style>
  <w:style w:type="character" w:customStyle="1" w:styleId="refpages">
    <w:name w:val="refpages"/>
    <w:basedOn w:val="a0"/>
    <w:qFormat/>
  </w:style>
  <w:style w:type="paragraph" w:customStyle="1" w:styleId="10">
    <w:name w:val="修订1"/>
    <w:hidden/>
    <w:uiPriority w:val="99"/>
    <w:unhideWhenUsed/>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pubmed/?term=Junker%20AB%5BAuthor%5D&amp;cauthor=true&amp;cauthor_uid=26036886" TargetMode="External"/><Relationship Id="rId18" Type="http://schemas.openxmlformats.org/officeDocument/2006/relationships/hyperlink" Target="https://www.ncbi.nlm.nih.gov/pubmed/?term=Chen%20Y%5BAuthor%5D&amp;cauthor=true&amp;cauthor_uid=16454852"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ncbi.nlm.nih.gov/pubmed/?term=Hansen%20JM%5BAuthor%5D&amp;cauthor=true&amp;cauthor_uid=26036886" TargetMode="External"/><Relationship Id="rId17" Type="http://schemas.openxmlformats.org/officeDocument/2006/relationships/hyperlink" Target="https://www.ncbi.nlm.nih.gov/pubmed/?term=Katz%20PO%5BAuthor%5D&amp;cauthor=true&amp;cauthor_uid=16454852" TargetMode="External"/><Relationship Id="rId2" Type="http://schemas.openxmlformats.org/officeDocument/2006/relationships/customXml" Target="../customXml/item2.xml"/><Relationship Id="rId16" Type="http://schemas.openxmlformats.org/officeDocument/2006/relationships/hyperlink" Target="https://www.ncbi.nlm.nih.gov/pubmed/?term=Miner%20P%20Jr%5BAuthor%5D&amp;cauthor=true&amp;cauthor_uid=16454852" TargetMode="External"/><Relationship Id="rId20" Type="http://schemas.openxmlformats.org/officeDocument/2006/relationships/hyperlink" Target="https://www.ncbi.nlm.nih.gov/pubmed/2782537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ubmed/?term=Jensen%20BE%5BAuthor%5D&amp;cauthor=true&amp;cauthor_uid=26036886" TargetMode="External"/><Relationship Id="rId5" Type="http://schemas.microsoft.com/office/2007/relationships/stylesWithEffects" Target="stylesWithEffects.xml"/><Relationship Id="rId15" Type="http://schemas.openxmlformats.org/officeDocument/2006/relationships/hyperlink" Target="https://www.ncbi.nlm.nih.gov/pubmed"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ncbi.nlm.nih.gov/pubmed/1645485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ncbi.nlm.nih.gov/pubmed/2603688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082571-0CC5-40E1-A543-2E82FB32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16</Pages>
  <Words>3123</Words>
  <Characters>17807</Characters>
  <Application>Microsoft Office Word</Application>
  <DocSecurity>0</DocSecurity>
  <Lines>148</Lines>
  <Paragraphs>41</Paragraphs>
  <ScaleCrop>false</ScaleCrop>
  <Company>微软中国</Company>
  <LinksUpToDate>false</LinksUpToDate>
  <CharactersWithSpaces>20889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ANNASEI</dc:creator>
  <cp:lastModifiedBy>Windows 用户</cp:lastModifiedBy>
  <cp:revision>14</cp:revision>
  <dcterms:created xsi:type="dcterms:W3CDTF">2019-07-01T05:13:00Z</dcterms:created>
  <dcterms:modified xsi:type="dcterms:W3CDTF">2019-07-09T11:15:00Z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