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13C" w:rsidRPr="00EB213C" w:rsidRDefault="00EB213C" w:rsidP="00EB213C">
      <w:pPr>
        <w:spacing w:line="312" w:lineRule="auto"/>
        <w:rPr>
          <w:rFonts w:ascii="仿宋_GB2312" w:eastAsia="仿宋_GB2312" w:hAnsi="宋体"/>
          <w:snapToGrid w:val="0"/>
          <w:sz w:val="28"/>
          <w:szCs w:val="28"/>
        </w:rPr>
      </w:pPr>
      <w:r w:rsidRPr="00EB213C">
        <w:rPr>
          <w:rFonts w:ascii="仿宋_GB2312" w:eastAsia="仿宋_GB2312" w:hAnsi="宋体" w:hint="eastAsia"/>
          <w:snapToGrid w:val="0"/>
          <w:sz w:val="28"/>
          <w:szCs w:val="28"/>
        </w:rPr>
        <w:t>附件</w:t>
      </w:r>
      <w:r w:rsidR="00A62CFC">
        <w:rPr>
          <w:rFonts w:ascii="仿宋_GB2312" w:eastAsia="仿宋_GB2312" w:hAnsi="宋体" w:hint="eastAsia"/>
          <w:snapToGrid w:val="0"/>
          <w:sz w:val="28"/>
          <w:szCs w:val="28"/>
        </w:rPr>
        <w:t>1</w:t>
      </w:r>
      <w:r w:rsidRPr="00EB213C">
        <w:rPr>
          <w:rFonts w:ascii="仿宋_GB2312" w:eastAsia="仿宋_GB2312" w:hAnsi="宋体" w:hint="eastAsia"/>
          <w:snapToGrid w:val="0"/>
          <w:sz w:val="28"/>
          <w:szCs w:val="28"/>
        </w:rPr>
        <w:t>：</w:t>
      </w:r>
    </w:p>
    <w:p w:rsidR="00DA74B0" w:rsidRDefault="003914F5">
      <w:pPr>
        <w:spacing w:line="312" w:lineRule="auto"/>
        <w:jc w:val="center"/>
        <w:rPr>
          <w:rFonts w:ascii="创艺简标宋" w:eastAsia="创艺简标宋" w:hAnsi="宋体"/>
          <w:snapToGrid w:val="0"/>
          <w:sz w:val="44"/>
          <w:szCs w:val="44"/>
        </w:rPr>
      </w:pPr>
      <w:r>
        <w:rPr>
          <w:rFonts w:ascii="创艺简标宋" w:eastAsia="创艺简标宋" w:hAnsi="宋体" w:hint="eastAsia"/>
          <w:snapToGrid w:val="0"/>
          <w:sz w:val="44"/>
          <w:szCs w:val="44"/>
        </w:rPr>
        <w:t>广东省医院药学研究基金</w:t>
      </w:r>
    </w:p>
    <w:p w:rsidR="00DA74B0" w:rsidRDefault="003914F5">
      <w:pPr>
        <w:spacing w:line="312" w:lineRule="auto"/>
        <w:jc w:val="center"/>
        <w:rPr>
          <w:rFonts w:ascii="创艺简标宋" w:eastAsia="创艺简标宋" w:hAnsi="宋体"/>
          <w:snapToGrid w:val="0"/>
          <w:sz w:val="44"/>
          <w:szCs w:val="44"/>
        </w:rPr>
      </w:pPr>
      <w:r>
        <w:rPr>
          <w:rFonts w:ascii="创艺简标宋" w:eastAsia="创艺简标宋" w:hAnsi="宋体" w:hint="eastAsia"/>
          <w:snapToGrid w:val="0"/>
          <w:sz w:val="44"/>
          <w:szCs w:val="44"/>
        </w:rPr>
        <w:t>——恒灿精准用药专项基金工作方案</w:t>
      </w:r>
    </w:p>
    <w:p w:rsidR="00DA74B0" w:rsidRDefault="00DA74B0">
      <w:pPr>
        <w:spacing w:line="312" w:lineRule="auto"/>
        <w:jc w:val="left"/>
        <w:rPr>
          <w:rFonts w:ascii="仿宋_GB2312" w:eastAsia="仿宋_GB2312" w:hAnsi="宋体"/>
          <w:snapToGrid w:val="0"/>
        </w:rPr>
      </w:pPr>
    </w:p>
    <w:p w:rsidR="00DA74B0" w:rsidRDefault="003914F5" w:rsidP="00A62CFC">
      <w:pPr>
        <w:spacing w:line="500" w:lineRule="exact"/>
        <w:ind w:firstLineChars="200" w:firstLine="562"/>
        <w:rPr>
          <w:rFonts w:ascii="仿宋_GB2312" w:eastAsia="仿宋_GB2312" w:hAnsi="宋体"/>
          <w:b/>
          <w:snapToGrid w:val="0"/>
          <w:sz w:val="28"/>
          <w:szCs w:val="28"/>
        </w:rPr>
      </w:pPr>
      <w:r>
        <w:rPr>
          <w:rFonts w:ascii="仿宋_GB2312" w:eastAsia="仿宋_GB2312" w:hAnsi="宋体" w:hint="eastAsia"/>
          <w:b/>
          <w:snapToGrid w:val="0"/>
          <w:sz w:val="28"/>
          <w:szCs w:val="28"/>
        </w:rPr>
        <w:t>1. 宗旨</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广东省医院药学研究基金的宗旨为：推动广东省医院药学及相关领域科研及临床的发展，为广大医院药师创造学术交流及科研机会，提高我省医院药学学科建设，优化临床合理用药，降低治疗成本，推动医疗资源合理使用。</w:t>
      </w:r>
    </w:p>
    <w:p w:rsidR="00DA74B0" w:rsidRDefault="003914F5" w:rsidP="00A62CFC">
      <w:pPr>
        <w:spacing w:line="500" w:lineRule="exact"/>
        <w:ind w:firstLineChars="200" w:firstLine="562"/>
        <w:rPr>
          <w:rFonts w:ascii="仿宋_GB2312" w:eastAsia="仿宋_GB2312" w:hAnsi="宋体"/>
          <w:b/>
          <w:snapToGrid w:val="0"/>
          <w:sz w:val="28"/>
          <w:szCs w:val="28"/>
        </w:rPr>
      </w:pPr>
      <w:r>
        <w:rPr>
          <w:rFonts w:ascii="仿宋_GB2312" w:eastAsia="仿宋_GB2312" w:hAnsi="宋体" w:hint="eastAsia"/>
          <w:b/>
          <w:snapToGrid w:val="0"/>
          <w:sz w:val="28"/>
          <w:szCs w:val="28"/>
        </w:rPr>
        <w:t>2. 专家委员会组成</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基金评审专家委员会（以下简称“评委会”）由广东省药学会医院药学专业委员会的主任委员、副主任委员、三甲医院药学专家等具有高级药学技术职称的人员组成。</w:t>
      </w:r>
    </w:p>
    <w:p w:rsidR="00DA74B0" w:rsidRDefault="003914F5" w:rsidP="00A62CFC">
      <w:pPr>
        <w:spacing w:line="500" w:lineRule="exact"/>
        <w:ind w:firstLineChars="200" w:firstLine="562"/>
        <w:rPr>
          <w:rFonts w:ascii="仿宋_GB2312" w:eastAsia="仿宋_GB2312" w:hAnsi="宋体"/>
          <w:b/>
          <w:snapToGrid w:val="0"/>
          <w:sz w:val="28"/>
          <w:szCs w:val="28"/>
        </w:rPr>
      </w:pPr>
      <w:r>
        <w:rPr>
          <w:rFonts w:ascii="仿宋_GB2312" w:eastAsia="仿宋_GB2312" w:hAnsi="宋体" w:hint="eastAsia"/>
          <w:b/>
          <w:snapToGrid w:val="0"/>
          <w:sz w:val="28"/>
          <w:szCs w:val="28"/>
        </w:rPr>
        <w:t>3. 基金申报运行流程</w:t>
      </w:r>
    </w:p>
    <w:p w:rsidR="00DA74B0" w:rsidRDefault="003914F5" w:rsidP="00A62CFC">
      <w:pPr>
        <w:spacing w:line="500" w:lineRule="exact"/>
        <w:ind w:firstLineChars="200" w:firstLine="560"/>
        <w:rPr>
          <w:rFonts w:ascii="仿宋_GB2312" w:eastAsia="仿宋_GB2312" w:hAnsi="宋体"/>
          <w:snapToGrid w:val="0"/>
          <w:color w:val="000000"/>
          <w:sz w:val="28"/>
          <w:szCs w:val="28"/>
        </w:rPr>
      </w:pPr>
      <w:r>
        <w:rPr>
          <w:rFonts w:ascii="仿宋_GB2312" w:eastAsia="仿宋_GB2312" w:hAnsi="宋体" w:hint="eastAsia"/>
          <w:snapToGrid w:val="0"/>
          <w:sz w:val="28"/>
          <w:szCs w:val="28"/>
        </w:rPr>
        <w:t xml:space="preserve">3.1 </w:t>
      </w:r>
      <w:r>
        <w:rPr>
          <w:rFonts w:ascii="仿宋_GB2312" w:eastAsia="仿宋_GB2312" w:hAnsi="宋体" w:hint="eastAsia"/>
          <w:snapToGrid w:val="0"/>
          <w:color w:val="000000"/>
          <w:sz w:val="28"/>
          <w:szCs w:val="28"/>
        </w:rPr>
        <w:t>资助对象：开展精准用药平台项目的医院药学部门与临床科室，利用</w:t>
      </w:r>
      <w:r>
        <w:rPr>
          <w:rFonts w:ascii="仿宋_GB2312" w:eastAsia="仿宋_GB2312" w:hAnsi="宋体" w:hint="eastAsia"/>
          <w:snapToGrid w:val="0"/>
          <w:sz w:val="28"/>
          <w:szCs w:val="28"/>
        </w:rPr>
        <w:t>非扩增基因检测的</w:t>
      </w:r>
      <w:r>
        <w:rPr>
          <w:rFonts w:ascii="仿宋_GB2312" w:eastAsia="仿宋_GB2312" w:hAnsi="宋体" w:hint="eastAsia"/>
          <w:snapToGrid w:val="0"/>
          <w:color w:val="000000"/>
          <w:sz w:val="28"/>
          <w:szCs w:val="28"/>
        </w:rPr>
        <w:t>精准医疗个体化用药临床解决方案。</w:t>
      </w:r>
    </w:p>
    <w:p w:rsidR="00DA74B0" w:rsidRDefault="003914F5" w:rsidP="00A62CFC">
      <w:pPr>
        <w:pStyle w:val="a7"/>
        <w:shd w:val="clear" w:color="auto" w:fill="FFFFFF"/>
        <w:spacing w:before="0" w:beforeAutospacing="0" w:after="0" w:afterAutospacing="0" w:line="500" w:lineRule="exact"/>
        <w:ind w:firstLine="555"/>
        <w:jc w:val="both"/>
        <w:rPr>
          <w:rFonts w:ascii="仿宋_GB2312" w:eastAsia="仿宋_GB2312"/>
          <w:snapToGrid w:val="0"/>
          <w:sz w:val="28"/>
          <w:szCs w:val="28"/>
        </w:rPr>
      </w:pPr>
      <w:r>
        <w:rPr>
          <w:rFonts w:ascii="仿宋_GB2312" w:eastAsia="仿宋_GB2312" w:hint="eastAsia"/>
          <w:snapToGrid w:val="0"/>
          <w:sz w:val="28"/>
          <w:szCs w:val="28"/>
        </w:rPr>
        <w:t>3.2 资助项目：针对所有启动非扩增基因检测与精准药物治疗研究的医院，基金在医院启动研究后，择优资助共10个课题</w:t>
      </w:r>
      <w:r w:rsidR="00A62CFC">
        <w:rPr>
          <w:rFonts w:ascii="仿宋_GB2312" w:eastAsia="仿宋_GB2312" w:hint="eastAsia"/>
          <w:snapToGrid w:val="0"/>
          <w:sz w:val="28"/>
          <w:szCs w:val="28"/>
        </w:rPr>
        <w:t>：1）</w:t>
      </w:r>
      <w:r w:rsidR="00A62CFC" w:rsidRPr="00460765">
        <w:rPr>
          <w:rFonts w:ascii="仿宋_GB2312" w:eastAsia="仿宋_GB2312" w:hAnsi="微软雅黑" w:hint="eastAsia"/>
          <w:sz w:val="28"/>
          <w:szCs w:val="28"/>
        </w:rPr>
        <w:t>每家医院可申报第一</w:t>
      </w:r>
      <w:r w:rsidR="00A62CFC">
        <w:rPr>
          <w:rFonts w:ascii="仿宋_GB2312" w:eastAsia="仿宋_GB2312" w:hAnsi="微软雅黑" w:hint="eastAsia"/>
          <w:sz w:val="28"/>
          <w:szCs w:val="28"/>
        </w:rPr>
        <w:t>承担</w:t>
      </w:r>
      <w:r w:rsidR="00A62CFC" w:rsidRPr="00460765">
        <w:rPr>
          <w:rFonts w:ascii="仿宋_GB2312" w:eastAsia="仿宋_GB2312" w:hAnsi="微软雅黑" w:hint="eastAsia"/>
          <w:sz w:val="28"/>
          <w:szCs w:val="28"/>
        </w:rPr>
        <w:t>人</w:t>
      </w:r>
      <w:r w:rsidR="00A62CFC">
        <w:rPr>
          <w:rFonts w:ascii="仿宋_GB2312" w:eastAsia="仿宋_GB2312" w:hAnsi="微软雅黑" w:hint="eastAsia"/>
          <w:sz w:val="28"/>
          <w:szCs w:val="28"/>
        </w:rPr>
        <w:t>分别</w:t>
      </w:r>
      <w:r w:rsidR="00A62CFC" w:rsidRPr="00460765">
        <w:rPr>
          <w:rFonts w:ascii="仿宋_GB2312" w:eastAsia="仿宋_GB2312" w:hAnsi="微软雅黑" w:hint="eastAsia"/>
          <w:sz w:val="28"/>
          <w:szCs w:val="28"/>
        </w:rPr>
        <w:t>为药学</w:t>
      </w:r>
      <w:r w:rsidR="00A62CFC">
        <w:rPr>
          <w:rFonts w:ascii="仿宋_GB2312" w:eastAsia="仿宋_GB2312" w:hAnsi="微软雅黑" w:hint="eastAsia"/>
          <w:sz w:val="28"/>
          <w:szCs w:val="28"/>
        </w:rPr>
        <w:t>和</w:t>
      </w:r>
      <w:r w:rsidR="00A62CFC" w:rsidRPr="00460765">
        <w:rPr>
          <w:rFonts w:ascii="仿宋_GB2312" w:eastAsia="仿宋_GB2312" w:hAnsi="微软雅黑" w:hint="eastAsia"/>
          <w:sz w:val="28"/>
          <w:szCs w:val="28"/>
        </w:rPr>
        <w:t>医学人员的项目各1个；</w:t>
      </w:r>
      <w:r w:rsidR="00A62CFC">
        <w:rPr>
          <w:rFonts w:ascii="仿宋_GB2312" w:eastAsia="仿宋_GB2312" w:hAnsi="微软雅黑" w:hint="eastAsia"/>
          <w:sz w:val="28"/>
          <w:szCs w:val="28"/>
        </w:rPr>
        <w:t>2）</w:t>
      </w:r>
      <w:r w:rsidR="00A62CFC" w:rsidRPr="00460765">
        <w:rPr>
          <w:rFonts w:ascii="仿宋_GB2312" w:eastAsia="仿宋_GB2312" w:hAnsi="微软雅黑" w:hint="eastAsia"/>
          <w:sz w:val="28"/>
          <w:szCs w:val="28"/>
        </w:rPr>
        <w:t>如果</w:t>
      </w:r>
      <w:r w:rsidR="00A62CFC">
        <w:rPr>
          <w:rFonts w:ascii="仿宋_GB2312" w:eastAsia="仿宋_GB2312" w:hAnsi="微软雅黑" w:hint="eastAsia"/>
          <w:sz w:val="28"/>
          <w:szCs w:val="28"/>
        </w:rPr>
        <w:t>项目</w:t>
      </w:r>
      <w:r w:rsidR="00A62CFC" w:rsidRPr="00460765">
        <w:rPr>
          <w:rFonts w:ascii="仿宋_GB2312" w:eastAsia="仿宋_GB2312" w:hAnsi="微软雅黑" w:hint="eastAsia"/>
          <w:sz w:val="28"/>
          <w:szCs w:val="28"/>
        </w:rPr>
        <w:t>第一</w:t>
      </w:r>
      <w:r w:rsidR="00A62CFC">
        <w:rPr>
          <w:rFonts w:ascii="仿宋_GB2312" w:eastAsia="仿宋_GB2312" w:hAnsi="微软雅黑" w:hint="eastAsia"/>
          <w:sz w:val="28"/>
          <w:szCs w:val="28"/>
        </w:rPr>
        <w:t>承担</w:t>
      </w:r>
      <w:r w:rsidR="00A62CFC" w:rsidRPr="00460765">
        <w:rPr>
          <w:rFonts w:ascii="仿宋_GB2312" w:eastAsia="仿宋_GB2312" w:hAnsi="微软雅黑" w:hint="eastAsia"/>
          <w:sz w:val="28"/>
          <w:szCs w:val="28"/>
        </w:rPr>
        <w:t>人为医学人员，则前三</w:t>
      </w:r>
      <w:r w:rsidR="00A62CFC">
        <w:rPr>
          <w:rFonts w:ascii="仿宋_GB2312" w:eastAsia="仿宋_GB2312" w:hAnsi="微软雅黑" w:hint="eastAsia"/>
          <w:sz w:val="28"/>
          <w:szCs w:val="28"/>
        </w:rPr>
        <w:t>位承担</w:t>
      </w:r>
      <w:r w:rsidR="00A62CFC" w:rsidRPr="00460765">
        <w:rPr>
          <w:rFonts w:ascii="仿宋_GB2312" w:eastAsia="仿宋_GB2312" w:hAnsi="微软雅黑" w:hint="eastAsia"/>
          <w:sz w:val="28"/>
          <w:szCs w:val="28"/>
        </w:rPr>
        <w:t>人</w:t>
      </w:r>
      <w:r w:rsidR="00A62CFC">
        <w:rPr>
          <w:rFonts w:ascii="仿宋_GB2312" w:eastAsia="仿宋_GB2312" w:hAnsi="微软雅黑" w:hint="eastAsia"/>
          <w:sz w:val="28"/>
          <w:szCs w:val="28"/>
        </w:rPr>
        <w:t>中</w:t>
      </w:r>
      <w:r w:rsidR="00A62CFC" w:rsidRPr="00460765">
        <w:rPr>
          <w:rFonts w:ascii="仿宋_GB2312" w:eastAsia="仿宋_GB2312" w:hAnsi="微软雅黑" w:hint="eastAsia"/>
          <w:sz w:val="28"/>
          <w:szCs w:val="28"/>
        </w:rPr>
        <w:t>应有</w:t>
      </w:r>
      <w:r w:rsidR="00A62CFC">
        <w:rPr>
          <w:rFonts w:ascii="仿宋_GB2312" w:eastAsia="仿宋_GB2312" w:hAnsi="微软雅黑" w:hint="eastAsia"/>
          <w:sz w:val="28"/>
          <w:szCs w:val="28"/>
        </w:rPr>
        <w:t>一位药学人员</w:t>
      </w:r>
      <w:r w:rsidR="00F37012" w:rsidRPr="00F37012">
        <w:rPr>
          <w:rFonts w:ascii="仿宋_GB2312" w:eastAsia="仿宋_GB2312" w:hint="eastAsia"/>
          <w:snapToGrid w:val="0"/>
          <w:sz w:val="28"/>
          <w:szCs w:val="28"/>
        </w:rPr>
        <w:t>。</w:t>
      </w:r>
      <w:r>
        <w:rPr>
          <w:rFonts w:ascii="仿宋_GB2312" w:eastAsia="仿宋_GB2312" w:hint="eastAsia"/>
          <w:snapToGrid w:val="0"/>
          <w:sz w:val="28"/>
          <w:szCs w:val="28"/>
        </w:rPr>
        <w:t>课题申报截止时间为201</w:t>
      </w:r>
      <w:r>
        <w:rPr>
          <w:rFonts w:ascii="仿宋_GB2312" w:eastAsia="仿宋_GB2312"/>
          <w:snapToGrid w:val="0"/>
          <w:sz w:val="28"/>
          <w:szCs w:val="28"/>
        </w:rPr>
        <w:t>9</w:t>
      </w:r>
      <w:r>
        <w:rPr>
          <w:rFonts w:ascii="仿宋_GB2312" w:eastAsia="仿宋_GB2312" w:hint="eastAsia"/>
          <w:snapToGrid w:val="0"/>
          <w:sz w:val="28"/>
          <w:szCs w:val="28"/>
        </w:rPr>
        <w:t>年</w:t>
      </w:r>
      <w:r>
        <w:rPr>
          <w:rFonts w:ascii="仿宋_GB2312" w:eastAsia="仿宋_GB2312"/>
          <w:snapToGrid w:val="0"/>
          <w:sz w:val="28"/>
          <w:szCs w:val="28"/>
        </w:rPr>
        <w:t>6</w:t>
      </w:r>
      <w:r>
        <w:rPr>
          <w:rFonts w:ascii="仿宋_GB2312" w:eastAsia="仿宋_GB2312" w:hint="eastAsia"/>
          <w:snapToGrid w:val="0"/>
          <w:sz w:val="28"/>
          <w:szCs w:val="28"/>
        </w:rPr>
        <w:t>月</w:t>
      </w:r>
      <w:r>
        <w:rPr>
          <w:rFonts w:ascii="仿宋_GB2312" w:eastAsia="仿宋_GB2312"/>
          <w:snapToGrid w:val="0"/>
          <w:sz w:val="28"/>
          <w:szCs w:val="28"/>
        </w:rPr>
        <w:t>30</w:t>
      </w:r>
      <w:r>
        <w:rPr>
          <w:rFonts w:ascii="仿宋_GB2312" w:eastAsia="仿宋_GB2312" w:hint="eastAsia"/>
          <w:snapToGrid w:val="0"/>
          <w:sz w:val="28"/>
          <w:szCs w:val="28"/>
        </w:rPr>
        <w:t>日，由评委会评审决定资助的医院和课题（每家医院可申请不超过两个课题）。研究基金在</w:t>
      </w:r>
      <w:r w:rsidR="000649F2">
        <w:rPr>
          <w:rFonts w:ascii="仿宋_GB2312" w:eastAsia="仿宋_GB2312" w:hint="eastAsia"/>
          <w:snapToGrid w:val="0"/>
          <w:sz w:val="28"/>
          <w:szCs w:val="28"/>
        </w:rPr>
        <w:t>基金</w:t>
      </w:r>
      <w:r>
        <w:rPr>
          <w:rFonts w:ascii="仿宋_GB2312" w:eastAsia="仿宋_GB2312" w:hint="eastAsia"/>
          <w:snapToGrid w:val="0"/>
          <w:sz w:val="28"/>
          <w:szCs w:val="28"/>
        </w:rPr>
        <w:t>资助名单公布后一个月内打款5000元/课题到各医院指定账户；结题报告书提交后，根据结题报告提交时间，可获得2000或5000元不等的研究基金余款，相关研究基金余款根据课题结题时间具体为：</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（1）资助课题结题并提交结题报告书的时间在201</w:t>
      </w:r>
      <w:r>
        <w:rPr>
          <w:rFonts w:ascii="仿宋_GB2312" w:eastAsia="仿宋_GB2312" w:hAnsi="宋体"/>
          <w:snapToGrid w:val="0"/>
          <w:sz w:val="28"/>
          <w:szCs w:val="28"/>
        </w:rPr>
        <w:t>9</w:t>
      </w:r>
      <w:r>
        <w:rPr>
          <w:rFonts w:ascii="仿宋_GB2312" w:eastAsia="仿宋_GB2312" w:hAnsi="宋体" w:hint="eastAsia"/>
          <w:snapToGrid w:val="0"/>
          <w:sz w:val="28"/>
          <w:szCs w:val="28"/>
        </w:rPr>
        <w:t>年</w:t>
      </w:r>
      <w:r>
        <w:rPr>
          <w:rFonts w:ascii="仿宋_GB2312" w:eastAsia="仿宋_GB2312" w:hAnsi="宋体"/>
          <w:snapToGrid w:val="0"/>
          <w:sz w:val="28"/>
          <w:szCs w:val="28"/>
        </w:rPr>
        <w:t>12</w:t>
      </w:r>
      <w:r>
        <w:rPr>
          <w:rFonts w:ascii="仿宋_GB2312" w:eastAsia="仿宋_GB2312" w:hAnsi="宋体" w:hint="eastAsia"/>
          <w:snapToGrid w:val="0"/>
          <w:sz w:val="28"/>
          <w:szCs w:val="28"/>
        </w:rPr>
        <w:t>月3</w:t>
      </w:r>
      <w:r>
        <w:rPr>
          <w:rFonts w:ascii="仿宋_GB2312" w:eastAsia="仿宋_GB2312" w:hAnsi="宋体"/>
          <w:snapToGrid w:val="0"/>
          <w:sz w:val="28"/>
          <w:szCs w:val="28"/>
        </w:rPr>
        <w:t>1</w:t>
      </w:r>
      <w:r>
        <w:rPr>
          <w:rFonts w:ascii="仿宋_GB2312" w:eastAsia="仿宋_GB2312" w:hAnsi="宋体" w:hint="eastAsia"/>
          <w:snapToGrid w:val="0"/>
          <w:sz w:val="28"/>
          <w:szCs w:val="28"/>
        </w:rPr>
        <w:t>日以前的，结题报告书提交后，每个课题资助经费余款5000元；</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lastRenderedPageBreak/>
        <w:t>（2）资助课题结题并提交结题报告书的时间在20</w:t>
      </w:r>
      <w:r>
        <w:rPr>
          <w:rFonts w:ascii="仿宋_GB2312" w:eastAsia="仿宋_GB2312" w:hAnsi="宋体"/>
          <w:snapToGrid w:val="0"/>
          <w:sz w:val="28"/>
          <w:szCs w:val="28"/>
        </w:rPr>
        <w:t>20</w:t>
      </w:r>
      <w:r>
        <w:rPr>
          <w:rFonts w:ascii="仿宋_GB2312" w:eastAsia="仿宋_GB2312" w:hAnsi="宋体" w:hint="eastAsia"/>
          <w:snapToGrid w:val="0"/>
          <w:sz w:val="28"/>
          <w:szCs w:val="28"/>
        </w:rPr>
        <w:t>年</w:t>
      </w:r>
      <w:r>
        <w:rPr>
          <w:rFonts w:ascii="仿宋_GB2312" w:eastAsia="仿宋_GB2312" w:hAnsi="宋体"/>
          <w:snapToGrid w:val="0"/>
          <w:sz w:val="28"/>
          <w:szCs w:val="28"/>
        </w:rPr>
        <w:t>1</w:t>
      </w:r>
      <w:r>
        <w:rPr>
          <w:rFonts w:ascii="仿宋_GB2312" w:eastAsia="仿宋_GB2312" w:hAnsi="宋体" w:hint="eastAsia"/>
          <w:snapToGrid w:val="0"/>
          <w:sz w:val="28"/>
          <w:szCs w:val="28"/>
        </w:rPr>
        <w:t>月1日-</w:t>
      </w:r>
      <w:r>
        <w:rPr>
          <w:rFonts w:ascii="仿宋_GB2312" w:eastAsia="仿宋_GB2312" w:hAnsi="宋体"/>
          <w:snapToGrid w:val="0"/>
          <w:sz w:val="28"/>
          <w:szCs w:val="28"/>
        </w:rPr>
        <w:t>6</w:t>
      </w:r>
      <w:r>
        <w:rPr>
          <w:rFonts w:ascii="仿宋_GB2312" w:eastAsia="仿宋_GB2312" w:hAnsi="宋体" w:hint="eastAsia"/>
          <w:snapToGrid w:val="0"/>
          <w:sz w:val="28"/>
          <w:szCs w:val="28"/>
        </w:rPr>
        <w:t>月3</w:t>
      </w:r>
      <w:r>
        <w:rPr>
          <w:rFonts w:ascii="仿宋_GB2312" w:eastAsia="仿宋_GB2312" w:hAnsi="宋体"/>
          <w:snapToGrid w:val="0"/>
          <w:sz w:val="28"/>
          <w:szCs w:val="28"/>
        </w:rPr>
        <w:t>0</w:t>
      </w:r>
      <w:r>
        <w:rPr>
          <w:rFonts w:ascii="仿宋_GB2312" w:eastAsia="仿宋_GB2312" w:hAnsi="宋体" w:hint="eastAsia"/>
          <w:snapToGrid w:val="0"/>
          <w:sz w:val="28"/>
          <w:szCs w:val="28"/>
        </w:rPr>
        <w:t>日的，每个课题资助经费余款2000元；</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（3）所有基金资助的研究课题，需在20</w:t>
      </w:r>
      <w:r>
        <w:rPr>
          <w:rFonts w:ascii="仿宋_GB2312" w:eastAsia="仿宋_GB2312" w:hAnsi="宋体"/>
          <w:snapToGrid w:val="0"/>
          <w:sz w:val="28"/>
          <w:szCs w:val="28"/>
        </w:rPr>
        <w:t>20</w:t>
      </w:r>
      <w:r>
        <w:rPr>
          <w:rFonts w:ascii="仿宋_GB2312" w:eastAsia="仿宋_GB2312" w:hAnsi="宋体" w:hint="eastAsia"/>
          <w:snapToGrid w:val="0"/>
          <w:sz w:val="28"/>
          <w:szCs w:val="28"/>
        </w:rPr>
        <w:t>年</w:t>
      </w:r>
      <w:r>
        <w:rPr>
          <w:rFonts w:ascii="仿宋_GB2312" w:eastAsia="仿宋_GB2312" w:hAnsi="宋体"/>
          <w:snapToGrid w:val="0"/>
          <w:sz w:val="28"/>
          <w:szCs w:val="28"/>
        </w:rPr>
        <w:t>6</w:t>
      </w:r>
      <w:r>
        <w:rPr>
          <w:rFonts w:ascii="仿宋_GB2312" w:eastAsia="仿宋_GB2312" w:hAnsi="宋体" w:hint="eastAsia"/>
          <w:snapToGrid w:val="0"/>
          <w:sz w:val="28"/>
          <w:szCs w:val="28"/>
        </w:rPr>
        <w:t>月3</w:t>
      </w:r>
      <w:r>
        <w:rPr>
          <w:rFonts w:ascii="仿宋_GB2312" w:eastAsia="仿宋_GB2312" w:hAnsi="宋体"/>
          <w:snapToGrid w:val="0"/>
          <w:sz w:val="28"/>
          <w:szCs w:val="28"/>
        </w:rPr>
        <w:t>0</w:t>
      </w:r>
      <w:r>
        <w:rPr>
          <w:rFonts w:ascii="仿宋_GB2312" w:eastAsia="仿宋_GB2312" w:hAnsi="宋体" w:hint="eastAsia"/>
          <w:snapToGrid w:val="0"/>
          <w:sz w:val="28"/>
          <w:szCs w:val="28"/>
        </w:rPr>
        <w:t>日前提交结题报告，如未能完成课题，提交结题报告，基金管理方保留追回课题经费的权利。</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所有课题方向需与本院开展的药物基因项目一致；</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3.3 课题申报流程：药学会发项目申报通知到各医院药学部门→医院药学部门向药学会提供科研方案→评委会评审方案的合理性，选出立项项目→立项单位签订立项合同书→药学会将经费转入立项单位→项目研究→向药学会交结题报告→评审→通过评审的结题报告由药学会备案。</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3.4 课题申请：广东省行政区内开展精准服务平台项目的医院药学人员可向广东省药学会提出项目申请（每家医院限报2个项目），申请人请登陆本会网站http://www.sinopharmacy.com.cn/，点击“基金申报”，进入基金申报页面按要求填写信息，上传Word版基金申请书（见附件2）。同时，请将纸质版申请书一式三份（其中一份为原件，统一用A4纸双面印制，左侧装订, 申请书须经申请者单位同意并签盖公章。）交/寄到本会。</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3.5 科研经费：项目立项后，立项单位与本会签订协议,广东省药学会将项目经费转入立项单位。</w:t>
      </w:r>
      <w:r>
        <w:rPr>
          <w:rFonts w:ascii="仿宋_GB2312" w:eastAsia="仿宋_GB2312" w:hAnsi="宋体" w:hint="eastAsia"/>
          <w:b/>
          <w:snapToGrid w:val="0"/>
          <w:sz w:val="28"/>
          <w:szCs w:val="28"/>
        </w:rPr>
        <w:t>根据国家财务审计政策，立项单位在收取科研基金时必须提供省财政厅“行政事业单位资金往来结算票据”或税务发票。</w:t>
      </w:r>
      <w:r>
        <w:rPr>
          <w:rFonts w:ascii="仿宋_GB2312" w:eastAsia="仿宋_GB2312" w:hAnsi="宋体" w:hint="eastAsia"/>
          <w:snapToGrid w:val="0"/>
          <w:sz w:val="28"/>
          <w:szCs w:val="28"/>
        </w:rPr>
        <w:t>由立项单位监督管理经费的使用，保证专款专用。</w:t>
      </w:r>
    </w:p>
    <w:p w:rsidR="00DA74B0"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3.6 结题：项目完成后，立项单位应向评委会提交项目结题报告与单位财务部门出具的经费使用清单，由评委会负责评审。评审通过后的项目结题报告应分别交赞助单位及药学会备案，所有资助截止日为</w:t>
      </w:r>
      <w:r w:rsidRPr="00F37012">
        <w:rPr>
          <w:rFonts w:ascii="仿宋_GB2312" w:eastAsia="仿宋_GB2312" w:hAnsi="宋体" w:hint="eastAsia"/>
          <w:snapToGrid w:val="0"/>
          <w:sz w:val="28"/>
          <w:szCs w:val="28"/>
        </w:rPr>
        <w:t>2020年6月</w:t>
      </w:r>
      <w:r>
        <w:rPr>
          <w:rFonts w:ascii="仿宋_GB2312" w:eastAsia="仿宋_GB2312" w:hAnsi="宋体" w:hint="eastAsia"/>
          <w:snapToGrid w:val="0"/>
          <w:sz w:val="28"/>
          <w:szCs w:val="28"/>
        </w:rPr>
        <w:t>30日。</w:t>
      </w:r>
    </w:p>
    <w:p w:rsidR="00A62CFC" w:rsidRDefault="003914F5" w:rsidP="00A62CFC">
      <w:pPr>
        <w:spacing w:line="50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3.7 知识产权：科研项目成果的知识产权属于研究者所有，但赞助单位可以在其资料中无偿引用该研究成果</w:t>
      </w:r>
      <w:r w:rsidR="00A62CFC">
        <w:rPr>
          <w:rFonts w:ascii="仿宋_GB2312" w:eastAsia="仿宋_GB2312" w:hAnsi="宋体" w:hint="eastAsia"/>
          <w:snapToGrid w:val="0"/>
          <w:sz w:val="28"/>
          <w:szCs w:val="28"/>
        </w:rPr>
        <w:t>。</w:t>
      </w:r>
    </w:p>
    <w:p w:rsidR="00A62CFC" w:rsidRDefault="00A62CFC" w:rsidP="00A62CFC">
      <w:pPr>
        <w:spacing w:line="500" w:lineRule="exact"/>
        <w:ind w:firstLineChars="200" w:firstLine="560"/>
        <w:rPr>
          <w:rFonts w:ascii="仿宋_GB2312" w:eastAsia="仿宋_GB2312" w:hAnsi="宋体"/>
          <w:snapToGrid w:val="0"/>
          <w:sz w:val="28"/>
          <w:szCs w:val="28"/>
        </w:rPr>
      </w:pPr>
      <w:bookmarkStart w:id="0" w:name="_GoBack"/>
      <w:bookmarkEnd w:id="0"/>
    </w:p>
    <w:sectPr w:rsidR="00A62CFC" w:rsidSect="00A62CF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5A5" w:rsidRDefault="000C25A5" w:rsidP="00124A8D">
      <w:r>
        <w:separator/>
      </w:r>
    </w:p>
  </w:endnote>
  <w:endnote w:type="continuationSeparator" w:id="0">
    <w:p w:rsidR="000C25A5" w:rsidRDefault="000C25A5" w:rsidP="0012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00000287"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创艺简标宋">
    <w:altName w:val="MS Mincho"/>
    <w:panose1 w:val="00000000000000000000"/>
    <w:charset w:val="80"/>
    <w:family w:val="auto"/>
    <w:pitch w:val="variable"/>
    <w:sig w:usb0="00000283" w:usb1="080F0C00" w:usb2="00000012" w:usb3="00000000" w:csb0="0002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5A5" w:rsidRDefault="000C25A5" w:rsidP="00124A8D">
      <w:r>
        <w:separator/>
      </w:r>
    </w:p>
  </w:footnote>
  <w:footnote w:type="continuationSeparator" w:id="0">
    <w:p w:rsidR="000C25A5" w:rsidRDefault="000C25A5" w:rsidP="0012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B0"/>
    <w:rsid w:val="000649F2"/>
    <w:rsid w:val="000C25A5"/>
    <w:rsid w:val="00124A8D"/>
    <w:rsid w:val="002216A8"/>
    <w:rsid w:val="002271FE"/>
    <w:rsid w:val="002C4ED1"/>
    <w:rsid w:val="0038257E"/>
    <w:rsid w:val="003914F5"/>
    <w:rsid w:val="003C1A13"/>
    <w:rsid w:val="0041537B"/>
    <w:rsid w:val="00460765"/>
    <w:rsid w:val="005576E8"/>
    <w:rsid w:val="0066540A"/>
    <w:rsid w:val="006D414D"/>
    <w:rsid w:val="007543C1"/>
    <w:rsid w:val="007816D0"/>
    <w:rsid w:val="0084500D"/>
    <w:rsid w:val="008A0C8B"/>
    <w:rsid w:val="00A44699"/>
    <w:rsid w:val="00A62CFC"/>
    <w:rsid w:val="00B01F8C"/>
    <w:rsid w:val="00BB5B1B"/>
    <w:rsid w:val="00C008D3"/>
    <w:rsid w:val="00DA74B0"/>
    <w:rsid w:val="00EB213C"/>
    <w:rsid w:val="00F10B03"/>
    <w:rsid w:val="00F11918"/>
    <w:rsid w:val="00F21370"/>
    <w:rsid w:val="00F3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BCB1"/>
  <w15:docId w15:val="{9C6ECE3A-5901-40B3-9370-A9D734F8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6D0"/>
    <w:pPr>
      <w:widowControl w:val="0"/>
      <w:jc w:val="both"/>
    </w:pPr>
  </w:style>
  <w:style w:type="paragraph" w:styleId="1">
    <w:name w:val="heading 1"/>
    <w:basedOn w:val="a"/>
    <w:link w:val="10"/>
    <w:uiPriority w:val="9"/>
    <w:qFormat/>
    <w:rsid w:val="007816D0"/>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6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16D0"/>
    <w:rPr>
      <w:sz w:val="18"/>
      <w:szCs w:val="18"/>
    </w:rPr>
  </w:style>
  <w:style w:type="paragraph" w:styleId="a5">
    <w:name w:val="footer"/>
    <w:basedOn w:val="a"/>
    <w:link w:val="a6"/>
    <w:uiPriority w:val="99"/>
    <w:rsid w:val="007816D0"/>
    <w:pPr>
      <w:tabs>
        <w:tab w:val="center" w:pos="4153"/>
        <w:tab w:val="right" w:pos="8306"/>
      </w:tabs>
      <w:snapToGrid w:val="0"/>
      <w:jc w:val="left"/>
    </w:pPr>
    <w:rPr>
      <w:sz w:val="18"/>
      <w:szCs w:val="18"/>
    </w:rPr>
  </w:style>
  <w:style w:type="character" w:customStyle="1" w:styleId="a6">
    <w:name w:val="页脚 字符"/>
    <w:basedOn w:val="a0"/>
    <w:link w:val="a5"/>
    <w:uiPriority w:val="99"/>
    <w:rsid w:val="007816D0"/>
    <w:rPr>
      <w:sz w:val="18"/>
      <w:szCs w:val="18"/>
    </w:rPr>
  </w:style>
  <w:style w:type="character" w:customStyle="1" w:styleId="10">
    <w:name w:val="标题 1 字符"/>
    <w:basedOn w:val="a0"/>
    <w:link w:val="1"/>
    <w:uiPriority w:val="9"/>
    <w:rsid w:val="007816D0"/>
    <w:rPr>
      <w:rFonts w:ascii="宋体" w:eastAsia="宋体" w:hAnsi="宋体" w:cs="宋体"/>
      <w:b/>
      <w:bCs/>
      <w:kern w:val="36"/>
      <w:sz w:val="48"/>
      <w:szCs w:val="48"/>
    </w:rPr>
  </w:style>
  <w:style w:type="paragraph" w:styleId="a7">
    <w:name w:val="Normal (Web)"/>
    <w:basedOn w:val="a"/>
    <w:uiPriority w:val="99"/>
    <w:rsid w:val="007816D0"/>
    <w:pPr>
      <w:widowControl/>
      <w:spacing w:before="100" w:beforeAutospacing="1" w:after="100" w:afterAutospacing="1"/>
      <w:jc w:val="left"/>
    </w:pPr>
    <w:rPr>
      <w:rFonts w:ascii="宋体" w:eastAsia="宋体" w:hAnsi="宋体"/>
      <w:kern w:val="0"/>
      <w:sz w:val="24"/>
      <w:szCs w:val="24"/>
    </w:rPr>
  </w:style>
  <w:style w:type="character" w:styleId="a8">
    <w:name w:val="Hyperlink"/>
    <w:basedOn w:val="a0"/>
    <w:uiPriority w:val="99"/>
    <w:rsid w:val="007816D0"/>
    <w:rPr>
      <w:color w:val="0000FF"/>
      <w:u w:val="single"/>
    </w:rPr>
  </w:style>
  <w:style w:type="paragraph" w:styleId="a9">
    <w:name w:val="Plain Text"/>
    <w:basedOn w:val="a"/>
    <w:link w:val="aa"/>
    <w:rsid w:val="007816D0"/>
    <w:rPr>
      <w:rFonts w:ascii="宋体" w:eastAsia="宋体" w:hAnsi="Courier New" w:cs="Times New Roman"/>
      <w:szCs w:val="20"/>
    </w:rPr>
  </w:style>
  <w:style w:type="character" w:customStyle="1" w:styleId="aa">
    <w:name w:val="纯文本 字符"/>
    <w:basedOn w:val="a0"/>
    <w:link w:val="a9"/>
    <w:rsid w:val="007816D0"/>
    <w:rPr>
      <w:rFonts w:ascii="宋体" w:eastAsia="宋体" w:hAnsi="Courier New" w:cs="Times New Roman"/>
      <w:szCs w:val="20"/>
    </w:rPr>
  </w:style>
  <w:style w:type="paragraph" w:styleId="ab">
    <w:name w:val="Balloon Text"/>
    <w:basedOn w:val="a"/>
    <w:link w:val="ac"/>
    <w:uiPriority w:val="99"/>
    <w:semiHidden/>
    <w:unhideWhenUsed/>
    <w:rsid w:val="002C4ED1"/>
    <w:rPr>
      <w:sz w:val="18"/>
      <w:szCs w:val="18"/>
    </w:rPr>
  </w:style>
  <w:style w:type="character" w:customStyle="1" w:styleId="ac">
    <w:name w:val="批注框文本 字符"/>
    <w:basedOn w:val="a0"/>
    <w:link w:val="ab"/>
    <w:uiPriority w:val="99"/>
    <w:semiHidden/>
    <w:rsid w:val="002C4E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2E1B-5542-4811-8D71-2AB30F4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 yang</dc:creator>
  <cp:lastModifiedBy>xq yang</cp:lastModifiedBy>
  <cp:revision>3</cp:revision>
  <cp:lastPrinted>2019-02-26T09:03:00Z</cp:lastPrinted>
  <dcterms:created xsi:type="dcterms:W3CDTF">2019-03-01T09:33:00Z</dcterms:created>
  <dcterms:modified xsi:type="dcterms:W3CDTF">2019-03-01T09:34:00Z</dcterms:modified>
</cp:coreProperties>
</file>