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5E" w:rsidRPr="00613A6E" w:rsidRDefault="007E145E" w:rsidP="007E145E">
      <w:pPr>
        <w:spacing w:afterLines="50" w:after="156" w:line="360" w:lineRule="exact"/>
        <w:jc w:val="left"/>
        <w:rPr>
          <w:rFonts w:ascii="仿宋_GB2312" w:eastAsia="仿宋_GB2312"/>
          <w:sz w:val="28"/>
          <w:szCs w:val="28"/>
        </w:rPr>
      </w:pPr>
      <w:r w:rsidRPr="00613A6E">
        <w:rPr>
          <w:rFonts w:ascii="仿宋_GB2312" w:eastAsia="仿宋_GB2312" w:hAnsi="宋体" w:hint="eastAsia"/>
          <w:sz w:val="28"/>
          <w:szCs w:val="28"/>
        </w:rPr>
        <w:t>附件</w:t>
      </w:r>
      <w:r w:rsidRPr="00613A6E">
        <w:rPr>
          <w:rFonts w:ascii="仿宋_GB2312" w:eastAsia="仿宋_GB2312" w:hint="eastAsia"/>
          <w:sz w:val="28"/>
          <w:szCs w:val="28"/>
        </w:rPr>
        <w:t>1：</w:t>
      </w:r>
    </w:p>
    <w:p w:rsidR="007E145E" w:rsidRPr="00613A6E" w:rsidRDefault="007E145E" w:rsidP="007E145E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613A6E">
        <w:rPr>
          <w:rFonts w:ascii="仿宋_GB2312" w:eastAsia="仿宋_GB2312" w:hint="eastAsia"/>
          <w:b/>
          <w:sz w:val="32"/>
          <w:szCs w:val="32"/>
        </w:rPr>
        <w:t>药物经济学理论与实践学习班</w:t>
      </w:r>
      <w:r w:rsidRPr="00613A6E">
        <w:rPr>
          <w:rFonts w:ascii="仿宋_GB2312" w:eastAsia="仿宋_GB2312" w:hAnsi="宋体" w:hint="eastAsia"/>
          <w:b/>
          <w:sz w:val="32"/>
          <w:szCs w:val="32"/>
        </w:rPr>
        <w:t>课程安排表</w:t>
      </w:r>
    </w:p>
    <w:p w:rsidR="007E145E" w:rsidRPr="00613A6E" w:rsidRDefault="007E145E" w:rsidP="007E145E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59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1606"/>
        <w:gridCol w:w="5011"/>
        <w:gridCol w:w="2027"/>
      </w:tblGrid>
      <w:tr w:rsidR="007E145E" w:rsidRPr="00613A6E" w:rsidTr="00DB6B83">
        <w:trPr>
          <w:trHeight w:val="567"/>
        </w:trPr>
        <w:tc>
          <w:tcPr>
            <w:tcW w:w="625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sz w:val="24"/>
              </w:rPr>
              <w:t>日期</w:t>
            </w: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sz w:val="24"/>
              </w:rPr>
              <w:t>讲题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sz w:val="24"/>
              </w:rPr>
              <w:t>讲者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 w:val="restar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8"/>
                <w:attr w:name="IsLunarDate" w:val="False"/>
                <w:attr w:name="IsROCDate" w:val="False"/>
              </w:smartTagPr>
              <w:r w:rsidRPr="00613A6E">
                <w:rPr>
                  <w:rFonts w:ascii="仿宋_GB2312" w:eastAsia="仿宋_GB2312" w:hint="eastAsia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sz w:val="24"/>
                </w:rPr>
                <w:t>26</w:t>
              </w:r>
              <w:r w:rsidRPr="00613A6E">
                <w:rPr>
                  <w:rFonts w:ascii="仿宋_GB2312" w:eastAsia="仿宋_GB2312" w:hAnsi="宋体" w:hint="eastAsia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1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3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:00-1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3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:30</w:t>
            </w:r>
          </w:p>
        </w:tc>
        <w:tc>
          <w:tcPr>
            <w:tcW w:w="3562" w:type="pct"/>
            <w:gridSpan w:val="2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</w:rPr>
              <w:t>学员报道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13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:30-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14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:15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EQ-5D instruments: an update of current status around the world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Jan Busschbach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14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:15-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15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The use of EQ-5D: economic evaluations, outcomes research, and beyond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Nan Luo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15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15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:30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The use and research of EQ-5D in China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Zhihao Yang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15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:30-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16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</w:t>
            </w:r>
          </w:p>
        </w:tc>
        <w:tc>
          <w:tcPr>
            <w:tcW w:w="3562" w:type="pct"/>
            <w:gridSpan w:val="2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</w:rPr>
              <w:t>茶歇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16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16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:30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pStyle w:val="HTML"/>
              <w:shd w:val="clear" w:color="auto" w:fill="FFFFFF"/>
              <w:rPr>
                <w:rFonts w:ascii="仿宋_GB2312" w:eastAsia="仿宋_GB2312" w:hAnsi="Times New Roman"/>
                <w:lang w:eastAsia="en-GB"/>
              </w:rPr>
            </w:pPr>
            <w:r w:rsidRPr="00613A6E">
              <w:rPr>
                <w:rFonts w:ascii="仿宋_GB2312" w:eastAsia="仿宋_GB2312" w:hAnsi="Times New Roman" w:hint="eastAsia"/>
                <w:lang w:eastAsia="en-GB"/>
              </w:rPr>
              <w:t>Papers discussions part #1: The validation of EQ-5D-Y in Chinese leukemia youth patients.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Nan Luo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16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17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Papers discussions part #2: Assessing health-related quality of life of adult Tibetans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Zhihao Yang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17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:00-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17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:15</w:t>
            </w:r>
          </w:p>
        </w:tc>
        <w:tc>
          <w:tcPr>
            <w:tcW w:w="3562" w:type="pct"/>
            <w:gridSpan w:val="2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</w:rPr>
              <w:t>茶歇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17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:15-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17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:45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Papers discussion part #3: Health-related quality of life among rural Chinese men and women with hypertension: assessment by the EQ-5D-5L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Wang Pei (Fu Dan University)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17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:45-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18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:15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Papers discussion part #4: Comparison between EQ-5D-5L and the EQ-5D-3L in patients with acne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Zhihao Yang</w:t>
            </w:r>
          </w:p>
        </w:tc>
      </w:tr>
      <w:tr w:rsidR="007E145E" w:rsidRPr="00613A6E" w:rsidTr="00DB6B83">
        <w:trPr>
          <w:trHeight w:val="567"/>
        </w:trPr>
        <w:tc>
          <w:tcPr>
            <w:tcW w:w="625" w:type="pct"/>
            <w:vMerge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</w:p>
        </w:tc>
        <w:tc>
          <w:tcPr>
            <w:tcW w:w="813" w:type="pct"/>
            <w:vAlign w:val="center"/>
          </w:tcPr>
          <w:p w:rsidR="007E145E" w:rsidRPr="00613A6E" w:rsidRDefault="007E145E" w:rsidP="00DB6B83">
            <w:pPr>
              <w:snapToGrid w:val="0"/>
              <w:ind w:rightChars="-45" w:right="-94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/>
                <w:sz w:val="24"/>
                <w:lang w:eastAsia="en-GB"/>
              </w:rPr>
              <w:t>18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:15-</w:t>
            </w:r>
            <w:r w:rsidRPr="00613A6E">
              <w:rPr>
                <w:rFonts w:ascii="仿宋_GB2312" w:eastAsia="仿宋_GB2312"/>
                <w:sz w:val="24"/>
                <w:lang w:eastAsia="en-GB"/>
              </w:rPr>
              <w:t>18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>:30</w:t>
            </w:r>
          </w:p>
        </w:tc>
        <w:tc>
          <w:tcPr>
            <w:tcW w:w="2536" w:type="pct"/>
            <w:vAlign w:val="center"/>
          </w:tcPr>
          <w:p w:rsidR="007E145E" w:rsidRPr="00613A6E" w:rsidRDefault="007E145E" w:rsidP="00DB6B83">
            <w:pPr>
              <w:snapToGrid w:val="0"/>
              <w:rPr>
                <w:rFonts w:ascii="仿宋_GB2312" w:eastAsia="仿宋_GB2312"/>
                <w:sz w:val="24"/>
                <w:lang w:eastAsia="en-GB"/>
              </w:rPr>
            </w:pPr>
            <w:r w:rsidRPr="00613A6E">
              <w:rPr>
                <w:rFonts w:ascii="仿宋_GB2312" w:eastAsia="仿宋_GB2312" w:hint="eastAsia"/>
                <w:sz w:val="24"/>
              </w:rPr>
              <w:t>总结讨论</w:t>
            </w:r>
            <w:r w:rsidRPr="00613A6E">
              <w:rPr>
                <w:rFonts w:ascii="仿宋_GB2312" w:eastAsia="仿宋_GB2312" w:hint="eastAsia"/>
                <w:sz w:val="24"/>
                <w:lang w:eastAsia="en-GB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="007E145E" w:rsidRPr="00613A6E" w:rsidRDefault="007E145E" w:rsidP="00DB6B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</w:rPr>
              <w:t>所有讲者</w:t>
            </w:r>
          </w:p>
        </w:tc>
      </w:tr>
    </w:tbl>
    <w:p w:rsidR="007E145E" w:rsidRPr="00613A6E" w:rsidRDefault="007E145E" w:rsidP="007E145E">
      <w:pPr>
        <w:spacing w:afterLines="50" w:after="156" w:line="360" w:lineRule="exact"/>
        <w:jc w:val="left"/>
        <w:rPr>
          <w:rFonts w:ascii="仿宋_GB2312" w:eastAsia="仿宋_GB2312"/>
          <w:b/>
          <w:sz w:val="28"/>
          <w:szCs w:val="28"/>
        </w:rPr>
      </w:pPr>
    </w:p>
    <w:p w:rsidR="007E145E" w:rsidRDefault="007E145E">
      <w:bookmarkStart w:id="0" w:name="_GoBack"/>
      <w:bookmarkEnd w:id="0"/>
    </w:p>
    <w:sectPr w:rsidR="007E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5E"/>
    <w:rsid w:val="007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BC22-9638-4932-B828-EA1B3B8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E1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7E145E"/>
    <w:rPr>
      <w:rFonts w:ascii="Arial" w:eastAsia="宋体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xq</dc:creator>
  <cp:keywords/>
  <dc:description/>
  <cp:lastModifiedBy>yang xq</cp:lastModifiedBy>
  <cp:revision>1</cp:revision>
  <dcterms:created xsi:type="dcterms:W3CDTF">2018-09-19T03:28:00Z</dcterms:created>
  <dcterms:modified xsi:type="dcterms:W3CDTF">2018-09-19T03:28:00Z</dcterms:modified>
</cp:coreProperties>
</file>