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840FED" w:rsidRPr="00840FED" w:rsidTr="009A6963">
        <w:tc>
          <w:tcPr>
            <w:tcW w:w="5341" w:type="dxa"/>
            <w:tcBorders>
              <w:bottom w:val="dotted" w:sz="4" w:space="0" w:color="548DD4" w:themeColor="text2" w:themeTint="99"/>
            </w:tcBorders>
            <w:vAlign w:val="bottom"/>
          </w:tcPr>
          <w:p w:rsidR="00840FED" w:rsidRPr="00840FED" w:rsidRDefault="00840FED" w:rsidP="00840FED">
            <w:pPr>
              <w:spacing w:line="360" w:lineRule="auto"/>
              <w:jc w:val="distribute"/>
              <w:rPr>
                <w:rFonts w:ascii="黑体" w:eastAsia="黑体" w:hAnsi="黑体"/>
                <w:b/>
                <w:color w:val="FF0000"/>
                <w:sz w:val="56"/>
              </w:rPr>
            </w:pPr>
            <w:r w:rsidRPr="00840FED">
              <w:rPr>
                <w:rFonts w:ascii="华文新魏" w:eastAsia="华文新魏" w:hint="eastAsia"/>
                <w:b/>
                <w:color w:val="FF0000"/>
                <w:sz w:val="56"/>
                <w:szCs w:val="80"/>
              </w:rPr>
              <w:t>中国药学会</w:t>
            </w:r>
          </w:p>
        </w:tc>
        <w:tc>
          <w:tcPr>
            <w:tcW w:w="5341" w:type="dxa"/>
            <w:tcBorders>
              <w:bottom w:val="dotted" w:sz="4" w:space="0" w:color="548DD4" w:themeColor="text2" w:themeTint="99"/>
            </w:tcBorders>
            <w:vAlign w:val="bottom"/>
          </w:tcPr>
          <w:p w:rsidR="00840FED" w:rsidRPr="00840FED" w:rsidRDefault="00840FED" w:rsidP="00840FED">
            <w:pPr>
              <w:spacing w:line="360" w:lineRule="auto"/>
              <w:jc w:val="distribute"/>
              <w:rPr>
                <w:rFonts w:ascii="黑体" w:eastAsia="黑体" w:hAnsi="黑体"/>
                <w:b/>
                <w:color w:val="FF0000"/>
                <w:sz w:val="56"/>
              </w:rPr>
            </w:pPr>
            <w:r w:rsidRPr="00840FED">
              <w:rPr>
                <w:rFonts w:hint="eastAsia"/>
                <w:color w:val="FF0000"/>
                <w:sz w:val="44"/>
                <w:szCs w:val="80"/>
              </w:rPr>
              <w:t>制药工程专委会</w:t>
            </w:r>
          </w:p>
        </w:tc>
      </w:tr>
      <w:tr w:rsidR="00840FED" w:rsidRPr="00840FED" w:rsidTr="003F7D1B">
        <w:tc>
          <w:tcPr>
            <w:tcW w:w="5341" w:type="dxa"/>
            <w:tcBorders>
              <w:top w:val="dotted" w:sz="4" w:space="0" w:color="548DD4" w:themeColor="text2" w:themeTint="99"/>
              <w:bottom w:val="single" w:sz="4" w:space="0" w:color="auto"/>
            </w:tcBorders>
            <w:vAlign w:val="bottom"/>
          </w:tcPr>
          <w:p w:rsidR="00840FED" w:rsidRPr="00840FED" w:rsidRDefault="00840FED" w:rsidP="00840FED">
            <w:pPr>
              <w:spacing w:line="360" w:lineRule="auto"/>
              <w:jc w:val="distribute"/>
              <w:rPr>
                <w:rFonts w:ascii="华文新魏" w:eastAsia="华文新魏"/>
                <w:b/>
                <w:color w:val="FF0000"/>
                <w:sz w:val="56"/>
                <w:szCs w:val="80"/>
              </w:rPr>
            </w:pPr>
            <w:r w:rsidRPr="00840FED">
              <w:rPr>
                <w:rFonts w:ascii="华文新魏" w:eastAsia="华文新魏"/>
                <w:b/>
                <w:color w:val="FF0000"/>
                <w:sz w:val="56"/>
                <w:szCs w:val="80"/>
              </w:rPr>
              <w:t>广东省药学会</w:t>
            </w:r>
          </w:p>
        </w:tc>
        <w:tc>
          <w:tcPr>
            <w:tcW w:w="5341" w:type="dxa"/>
            <w:tcBorders>
              <w:top w:val="dotted" w:sz="4" w:space="0" w:color="548DD4" w:themeColor="text2" w:themeTint="99"/>
              <w:bottom w:val="single" w:sz="4" w:space="0" w:color="auto"/>
            </w:tcBorders>
            <w:vAlign w:val="bottom"/>
          </w:tcPr>
          <w:p w:rsidR="00840FED" w:rsidRPr="00840FED" w:rsidRDefault="00840FED" w:rsidP="00840FED">
            <w:pPr>
              <w:spacing w:line="360" w:lineRule="auto"/>
              <w:jc w:val="distribute"/>
              <w:rPr>
                <w:color w:val="FF0000"/>
                <w:sz w:val="56"/>
                <w:szCs w:val="80"/>
              </w:rPr>
            </w:pPr>
            <w:r w:rsidRPr="00840FED">
              <w:rPr>
                <w:color w:val="FF0000"/>
                <w:sz w:val="44"/>
                <w:szCs w:val="80"/>
              </w:rPr>
              <w:t>制药工程专委会</w:t>
            </w:r>
          </w:p>
        </w:tc>
      </w:tr>
    </w:tbl>
    <w:p w:rsidR="00840FED" w:rsidRPr="00840FED" w:rsidRDefault="00840FED" w:rsidP="00A73FB7">
      <w:pPr>
        <w:spacing w:line="360" w:lineRule="auto"/>
        <w:rPr>
          <w:rFonts w:ascii="黑体" w:eastAsia="黑体" w:hAnsi="黑体"/>
          <w:b/>
          <w:color w:val="FF0000"/>
          <w:sz w:val="40"/>
        </w:rPr>
      </w:pPr>
    </w:p>
    <w:p w:rsidR="00A176AB" w:rsidRPr="000B70AD" w:rsidRDefault="000B70AD" w:rsidP="000B70AD">
      <w:pPr>
        <w:spacing w:line="360" w:lineRule="auto"/>
        <w:jc w:val="center"/>
        <w:rPr>
          <w:rFonts w:asciiTheme="minorEastAsia" w:hAnsiTheme="minorEastAsia"/>
          <w:sz w:val="48"/>
        </w:rPr>
      </w:pPr>
      <w:r w:rsidRPr="000B70AD">
        <w:rPr>
          <w:rFonts w:asciiTheme="minorEastAsia" w:hAnsiTheme="minorEastAsia" w:hint="eastAsia"/>
          <w:sz w:val="48"/>
        </w:rPr>
        <w:t>药品</w:t>
      </w:r>
      <w:r w:rsidR="00B36A99">
        <w:rPr>
          <w:rFonts w:asciiTheme="minorEastAsia" w:hAnsiTheme="minorEastAsia" w:hint="eastAsia"/>
          <w:sz w:val="48"/>
        </w:rPr>
        <w:t>技术转移和许可持有</w:t>
      </w:r>
      <w:r w:rsidR="00A176AB" w:rsidRPr="000B70AD">
        <w:rPr>
          <w:rFonts w:asciiTheme="minorEastAsia" w:hAnsiTheme="minorEastAsia" w:hint="eastAsia"/>
          <w:sz w:val="48"/>
        </w:rPr>
        <w:t>人制度研讨会</w:t>
      </w:r>
    </w:p>
    <w:p w:rsidR="00A176AB" w:rsidRPr="000B70AD" w:rsidRDefault="00A73FB7" w:rsidP="000B70AD">
      <w:pPr>
        <w:spacing w:line="360" w:lineRule="auto"/>
        <w:jc w:val="center"/>
        <w:rPr>
          <w:rFonts w:asciiTheme="minorEastAsia" w:hAnsiTheme="minorEastAsia"/>
          <w:sz w:val="28"/>
        </w:rPr>
      </w:pPr>
      <w:r w:rsidRPr="000B70AD">
        <w:rPr>
          <w:rFonts w:asciiTheme="minorEastAsia" w:hAnsiTheme="minorEastAsia" w:hint="eastAsia"/>
          <w:sz w:val="28"/>
        </w:rPr>
        <w:t>（</w:t>
      </w:r>
      <w:r w:rsidRPr="000B70AD">
        <w:rPr>
          <w:rFonts w:asciiTheme="minorEastAsia" w:hAnsiTheme="minorEastAsia"/>
          <w:sz w:val="28"/>
        </w:rPr>
        <w:t>第</w:t>
      </w:r>
      <w:r w:rsidR="00205E38">
        <w:rPr>
          <w:rFonts w:asciiTheme="minorEastAsia" w:hAnsiTheme="minorEastAsia" w:hint="eastAsia"/>
          <w:sz w:val="28"/>
        </w:rPr>
        <w:t>三</w:t>
      </w:r>
      <w:r w:rsidRPr="000B70AD">
        <w:rPr>
          <w:rFonts w:asciiTheme="minorEastAsia" w:hAnsiTheme="minorEastAsia"/>
          <w:sz w:val="28"/>
        </w:rPr>
        <w:t>轮会议通知</w:t>
      </w:r>
      <w:r w:rsidRPr="000B70AD">
        <w:rPr>
          <w:rFonts w:asciiTheme="minorEastAsia" w:hAnsiTheme="minorEastAsia" w:hint="eastAsia"/>
          <w:sz w:val="28"/>
        </w:rPr>
        <w:t>）</w:t>
      </w:r>
    </w:p>
    <w:p w:rsidR="000B70AD" w:rsidRPr="00412F20" w:rsidRDefault="000B70AD" w:rsidP="009A6963">
      <w:pPr>
        <w:spacing w:line="360" w:lineRule="exact"/>
        <w:ind w:firstLineChars="202" w:firstLine="485"/>
        <w:rPr>
          <w:rFonts w:asciiTheme="minorEastAsia" w:hAnsiTheme="minorEastAsia"/>
          <w:sz w:val="24"/>
        </w:rPr>
      </w:pPr>
      <w:r w:rsidRPr="00412F20">
        <w:rPr>
          <w:rFonts w:asciiTheme="minorEastAsia" w:hAnsiTheme="minorEastAsia" w:hint="eastAsia"/>
          <w:sz w:val="24"/>
        </w:rPr>
        <w:t>新药研发过程中从实验室向中试和大生产、以及不同生产场地的生产工艺和检验技术的转移和验证工作是药品生产的一个核心关键技术，本次会议主要就技术转移、</w:t>
      </w:r>
      <w:proofErr w:type="spellStart"/>
      <w:r w:rsidRPr="00412F20">
        <w:rPr>
          <w:rFonts w:asciiTheme="minorEastAsia" w:hAnsiTheme="minorEastAsia" w:hint="eastAsia"/>
          <w:sz w:val="24"/>
        </w:rPr>
        <w:t>QbD</w:t>
      </w:r>
      <w:proofErr w:type="spellEnd"/>
      <w:r w:rsidRPr="00412F20">
        <w:rPr>
          <w:rFonts w:asciiTheme="minorEastAsia" w:hAnsiTheme="minorEastAsia" w:hint="eastAsia"/>
          <w:sz w:val="24"/>
        </w:rPr>
        <w:t>、PAT、验证等关键技术要点进行研讨。</w:t>
      </w:r>
    </w:p>
    <w:p w:rsidR="006838A3" w:rsidRDefault="00FF2571" w:rsidP="009A6963">
      <w:pPr>
        <w:spacing w:line="360" w:lineRule="exact"/>
        <w:ind w:firstLineChars="202" w:firstLine="485"/>
        <w:rPr>
          <w:rFonts w:asciiTheme="minorEastAsia" w:hAnsiTheme="minorEastAsia"/>
          <w:sz w:val="24"/>
        </w:rPr>
      </w:pPr>
      <w:r>
        <w:rPr>
          <w:rFonts w:asciiTheme="minorEastAsia" w:hAnsiTheme="minorEastAsia" w:hint="eastAsia"/>
          <w:sz w:val="24"/>
        </w:rPr>
        <w:t>会议同时邀请法律专家结合国内外开展药品许可人制度法律和操作规范</w:t>
      </w:r>
      <w:r w:rsidR="00DD6159">
        <w:rPr>
          <w:rFonts w:asciiTheme="minorEastAsia" w:hAnsiTheme="minorEastAsia" w:hint="eastAsia"/>
          <w:sz w:val="24"/>
        </w:rPr>
        <w:t>，</w:t>
      </w:r>
      <w:r w:rsidR="00DD6159" w:rsidRPr="00DD6159">
        <w:rPr>
          <w:rFonts w:asciiTheme="minorEastAsia" w:hAnsiTheme="minorEastAsia" w:hint="eastAsia"/>
          <w:sz w:val="24"/>
        </w:rPr>
        <w:t>包括监管</w:t>
      </w:r>
      <w:r w:rsidR="00DD6159" w:rsidRPr="00DD6159">
        <w:rPr>
          <w:rFonts w:asciiTheme="minorEastAsia" w:hAnsiTheme="minorEastAsia"/>
          <w:sz w:val="24"/>
        </w:rPr>
        <w:t>部门</w:t>
      </w:r>
      <w:r w:rsidR="00DD6159" w:rsidRPr="0039299A">
        <w:rPr>
          <w:rFonts w:asciiTheme="minorEastAsia" w:hAnsiTheme="minorEastAsia"/>
          <w:sz w:val="24"/>
        </w:rPr>
        <w:t>职能、立法情况、药品上市许可的转让及与专利权转让的相似性、药品上市许可持有人与实际生产企业的责任关系</w:t>
      </w:r>
      <w:r w:rsidR="00DD6159" w:rsidRPr="00DD6159">
        <w:rPr>
          <w:rFonts w:asciiTheme="minorEastAsia" w:hAnsiTheme="minorEastAsia"/>
          <w:sz w:val="24"/>
        </w:rPr>
        <w:t>等</w:t>
      </w:r>
      <w:r>
        <w:rPr>
          <w:rFonts w:asciiTheme="minorEastAsia" w:hAnsiTheme="minorEastAsia" w:hint="eastAsia"/>
          <w:sz w:val="24"/>
        </w:rPr>
        <w:t>问题进行</w:t>
      </w:r>
      <w:r w:rsidR="000B70AD" w:rsidRPr="00412F20">
        <w:rPr>
          <w:rFonts w:asciiTheme="minorEastAsia" w:hAnsiTheme="minorEastAsia" w:hint="eastAsia"/>
          <w:sz w:val="24"/>
        </w:rPr>
        <w:t>交流。会议同时提供技术转移平台对接交流机会，欢迎开展新药研发有品种需要委托加工的专家参加寻找合作机会。</w:t>
      </w:r>
      <w:r w:rsidR="006838A3" w:rsidRPr="00412F20">
        <w:rPr>
          <w:rFonts w:asciiTheme="minorEastAsia" w:hAnsiTheme="minorEastAsia" w:hint="eastAsia"/>
          <w:sz w:val="24"/>
        </w:rPr>
        <w:t>参会人员主要对象为开展新药研发到产业化开展药品技术转移的制药工程技术人员、BD人员、药政管理和科研教学人员以及相关的法</w:t>
      </w:r>
      <w:proofErr w:type="gramStart"/>
      <w:r w:rsidR="006838A3" w:rsidRPr="00412F20">
        <w:rPr>
          <w:rFonts w:asciiTheme="minorEastAsia" w:hAnsiTheme="minorEastAsia" w:hint="eastAsia"/>
          <w:sz w:val="24"/>
        </w:rPr>
        <w:t>务</w:t>
      </w:r>
      <w:proofErr w:type="gramEnd"/>
      <w:r w:rsidR="006838A3" w:rsidRPr="00412F20">
        <w:rPr>
          <w:rFonts w:asciiTheme="minorEastAsia" w:hAnsiTheme="minorEastAsia" w:hint="eastAsia"/>
          <w:sz w:val="24"/>
        </w:rPr>
        <w:t>、投资</w:t>
      </w:r>
      <w:r w:rsidR="00AA1889">
        <w:rPr>
          <w:rFonts w:asciiTheme="minorEastAsia" w:hAnsiTheme="minorEastAsia" w:hint="eastAsia"/>
          <w:sz w:val="24"/>
        </w:rPr>
        <w:t>界</w:t>
      </w:r>
      <w:r w:rsidR="006838A3" w:rsidRPr="00412F20">
        <w:rPr>
          <w:rFonts w:asciiTheme="minorEastAsia" w:hAnsiTheme="minorEastAsia" w:hint="eastAsia"/>
          <w:sz w:val="24"/>
        </w:rPr>
        <w:t>人员</w:t>
      </w:r>
      <w:r w:rsidR="00AA1889">
        <w:rPr>
          <w:rFonts w:asciiTheme="minorEastAsia" w:hAnsiTheme="minorEastAsia" w:hint="eastAsia"/>
          <w:sz w:val="24"/>
        </w:rPr>
        <w:t>，有新药品种准备做持有人的单位或个人</w:t>
      </w:r>
      <w:r w:rsidR="006838A3" w:rsidRPr="00412F20">
        <w:rPr>
          <w:rFonts w:asciiTheme="minorEastAsia" w:hAnsiTheme="minorEastAsia" w:hint="eastAsia"/>
          <w:sz w:val="24"/>
        </w:rPr>
        <w:t>。</w:t>
      </w:r>
    </w:p>
    <w:p w:rsidR="009A6963" w:rsidRDefault="009A6963" w:rsidP="009A6963">
      <w:pPr>
        <w:spacing w:line="360" w:lineRule="exact"/>
        <w:ind w:firstLineChars="202" w:firstLine="485"/>
        <w:rPr>
          <w:rFonts w:asciiTheme="minorEastAsia" w:hAnsiTheme="minorEastAsia"/>
          <w:sz w:val="24"/>
        </w:rPr>
      </w:pPr>
    </w:p>
    <w:p w:rsidR="009A6963" w:rsidRPr="00963700" w:rsidRDefault="009A6963" w:rsidP="00963700">
      <w:pPr>
        <w:spacing w:line="360" w:lineRule="exact"/>
        <w:ind w:firstLineChars="202" w:firstLine="487"/>
        <w:rPr>
          <w:rFonts w:ascii="黑体" w:eastAsia="黑体" w:hAnsi="黑体"/>
          <w:b/>
          <w:sz w:val="24"/>
        </w:rPr>
      </w:pPr>
      <w:r w:rsidRPr="00963700">
        <w:rPr>
          <w:rFonts w:ascii="黑体" w:eastAsia="黑体" w:hAnsi="黑体" w:hint="eastAsia"/>
          <w:b/>
          <w:sz w:val="24"/>
          <w:highlight w:val="yellow"/>
        </w:rPr>
        <w:t>会务安排：</w:t>
      </w:r>
    </w:p>
    <w:p w:rsidR="003F7D1B" w:rsidRDefault="009A6963" w:rsidP="009A6963">
      <w:pPr>
        <w:spacing w:line="360" w:lineRule="exact"/>
        <w:ind w:firstLineChars="202" w:firstLine="485"/>
        <w:rPr>
          <w:rFonts w:asciiTheme="minorEastAsia" w:hAnsiTheme="minorEastAsia"/>
          <w:sz w:val="24"/>
        </w:rPr>
      </w:pPr>
      <w:r w:rsidRPr="009A6963">
        <w:rPr>
          <w:rFonts w:asciiTheme="minorEastAsia" w:hAnsiTheme="minorEastAsia" w:hint="eastAsia"/>
          <w:sz w:val="24"/>
        </w:rPr>
        <w:t>本次会议会务费600元；中国药学会制药工程专委会委员和广东省药学会制药工程专委会会员和在读研究生，会务费减半300元；广东</w:t>
      </w:r>
      <w:r>
        <w:rPr>
          <w:rFonts w:asciiTheme="minorEastAsia" w:hAnsiTheme="minorEastAsia" w:hint="eastAsia"/>
          <w:sz w:val="24"/>
        </w:rPr>
        <w:t>的</w:t>
      </w:r>
      <w:r w:rsidRPr="009A6963">
        <w:rPr>
          <w:rFonts w:asciiTheme="minorEastAsia" w:hAnsiTheme="minorEastAsia" w:hint="eastAsia"/>
          <w:sz w:val="24"/>
        </w:rPr>
        <w:t>专委会</w:t>
      </w:r>
      <w:r>
        <w:rPr>
          <w:rFonts w:asciiTheme="minorEastAsia" w:hAnsiTheme="minorEastAsia" w:hint="eastAsia"/>
          <w:sz w:val="24"/>
        </w:rPr>
        <w:t>会员所缴纳</w:t>
      </w:r>
      <w:proofErr w:type="gramStart"/>
      <w:r w:rsidRPr="009A6963">
        <w:rPr>
          <w:rFonts w:asciiTheme="minorEastAsia" w:hAnsiTheme="minorEastAsia" w:hint="eastAsia"/>
          <w:sz w:val="24"/>
        </w:rPr>
        <w:t>会务费含2016年度</w:t>
      </w:r>
      <w:proofErr w:type="gramEnd"/>
      <w:r w:rsidRPr="009A6963">
        <w:rPr>
          <w:rFonts w:asciiTheme="minorEastAsia" w:hAnsiTheme="minorEastAsia" w:hint="eastAsia"/>
          <w:sz w:val="24"/>
        </w:rPr>
        <w:t>会员注册费用。</w:t>
      </w:r>
    </w:p>
    <w:p w:rsidR="009A6963" w:rsidRPr="009A6963" w:rsidRDefault="009A6963" w:rsidP="009A6963">
      <w:pPr>
        <w:spacing w:line="360" w:lineRule="exact"/>
        <w:ind w:firstLineChars="202" w:firstLine="485"/>
        <w:rPr>
          <w:rFonts w:asciiTheme="minorEastAsia" w:hAnsiTheme="minorEastAsia"/>
          <w:sz w:val="24"/>
        </w:rPr>
      </w:pPr>
      <w:r w:rsidRPr="009A6963">
        <w:rPr>
          <w:rFonts w:asciiTheme="minorEastAsia" w:hAnsiTheme="minorEastAsia" w:hint="eastAsia"/>
          <w:sz w:val="24"/>
        </w:rPr>
        <w:t>参会人员食宿交通费用自理。</w:t>
      </w:r>
    </w:p>
    <w:p w:rsidR="009A6963" w:rsidRPr="00963700" w:rsidRDefault="00FF2571" w:rsidP="00963700">
      <w:pPr>
        <w:spacing w:line="360" w:lineRule="exact"/>
        <w:ind w:firstLineChars="202" w:firstLine="487"/>
        <w:rPr>
          <w:rFonts w:ascii="黑体" w:eastAsia="黑体" w:hAnsi="黑体"/>
          <w:b/>
          <w:sz w:val="24"/>
        </w:rPr>
      </w:pPr>
      <w:r w:rsidRPr="00963700">
        <w:rPr>
          <w:rFonts w:ascii="黑体" w:eastAsia="黑体" w:hAnsi="黑体" w:hint="eastAsia"/>
          <w:b/>
          <w:sz w:val="24"/>
          <w:highlight w:val="yellow"/>
        </w:rPr>
        <w:t>会议时间</w:t>
      </w:r>
      <w:r w:rsidR="009A6963" w:rsidRPr="00963700">
        <w:rPr>
          <w:rFonts w:ascii="黑体" w:eastAsia="黑体" w:hAnsi="黑体" w:hint="eastAsia"/>
          <w:b/>
          <w:sz w:val="24"/>
          <w:highlight w:val="yellow"/>
        </w:rPr>
        <w:t>/地点</w:t>
      </w:r>
      <w:r w:rsidRPr="00963700">
        <w:rPr>
          <w:rFonts w:ascii="黑体" w:eastAsia="黑体" w:hAnsi="黑体" w:hint="eastAsia"/>
          <w:b/>
          <w:sz w:val="24"/>
          <w:highlight w:val="yellow"/>
        </w:rPr>
        <w:t>：</w:t>
      </w:r>
    </w:p>
    <w:p w:rsidR="00FF2571" w:rsidRDefault="00FF2571" w:rsidP="009A6963">
      <w:pPr>
        <w:spacing w:line="360" w:lineRule="exact"/>
        <w:ind w:firstLineChars="202" w:firstLine="485"/>
        <w:rPr>
          <w:rFonts w:asciiTheme="minorEastAsia" w:hAnsiTheme="minorEastAsia"/>
          <w:sz w:val="24"/>
        </w:rPr>
      </w:pPr>
      <w:r w:rsidRPr="00FF2571">
        <w:rPr>
          <w:rFonts w:asciiTheme="minorEastAsia" w:hAnsiTheme="minorEastAsia" w:hint="eastAsia"/>
          <w:sz w:val="24"/>
        </w:rPr>
        <w:t>2016年11月11月12日，1</w:t>
      </w:r>
      <w:r w:rsidR="00205E38">
        <w:rPr>
          <w:rFonts w:asciiTheme="minorEastAsia" w:hAnsiTheme="minorEastAsia" w:hint="eastAsia"/>
          <w:sz w:val="24"/>
        </w:rPr>
        <w:t>天时间</w:t>
      </w:r>
    </w:p>
    <w:p w:rsidR="00FF2571" w:rsidRDefault="00FF2571" w:rsidP="009A6963">
      <w:pPr>
        <w:spacing w:line="360" w:lineRule="exact"/>
        <w:ind w:firstLineChars="202" w:firstLine="485"/>
        <w:rPr>
          <w:rFonts w:asciiTheme="minorEastAsia" w:hAnsiTheme="minorEastAsia"/>
          <w:sz w:val="24"/>
        </w:rPr>
      </w:pPr>
      <w:r w:rsidRPr="009A6963">
        <w:rPr>
          <w:rFonts w:asciiTheme="minorEastAsia" w:hAnsiTheme="minorEastAsia" w:hint="eastAsia"/>
          <w:sz w:val="24"/>
        </w:rPr>
        <w:t>广州</w:t>
      </w:r>
      <w:r w:rsidR="00444C92">
        <w:rPr>
          <w:rFonts w:asciiTheme="minorEastAsia" w:hAnsiTheme="minorEastAsia" w:hint="eastAsia"/>
          <w:sz w:val="24"/>
        </w:rPr>
        <w:t>市</w:t>
      </w:r>
      <w:r w:rsidR="00444C92" w:rsidRPr="00444C92">
        <w:rPr>
          <w:rFonts w:asciiTheme="minorEastAsia" w:hAnsiTheme="minorEastAsia" w:hint="eastAsia"/>
          <w:b/>
          <w:color w:val="FF0000"/>
          <w:sz w:val="24"/>
          <w:u w:val="single"/>
        </w:rPr>
        <w:t>凯旋华美达</w:t>
      </w:r>
      <w:r w:rsidR="00205E38" w:rsidRPr="00444C92">
        <w:rPr>
          <w:rFonts w:asciiTheme="minorEastAsia" w:hAnsiTheme="minorEastAsia" w:hint="eastAsia"/>
          <w:b/>
          <w:color w:val="FF0000"/>
          <w:sz w:val="24"/>
          <w:u w:val="single"/>
        </w:rPr>
        <w:t>酒店</w:t>
      </w:r>
      <w:r w:rsidR="00205E38" w:rsidRPr="009A6963">
        <w:rPr>
          <w:rFonts w:asciiTheme="minorEastAsia" w:hAnsiTheme="minorEastAsia" w:hint="eastAsia"/>
          <w:sz w:val="24"/>
        </w:rPr>
        <w:t>，广州市</w:t>
      </w:r>
      <w:r w:rsidR="00DE08DC">
        <w:rPr>
          <w:rFonts w:asciiTheme="minorEastAsia" w:hAnsiTheme="minorEastAsia" w:hint="eastAsia"/>
          <w:sz w:val="24"/>
        </w:rPr>
        <w:t>广州大道中明月一路9</w:t>
      </w:r>
      <w:r w:rsidR="00205E38" w:rsidRPr="009A6963">
        <w:rPr>
          <w:rFonts w:asciiTheme="minorEastAsia" w:hAnsiTheme="minorEastAsia" w:hint="eastAsia"/>
          <w:sz w:val="24"/>
        </w:rPr>
        <w:t>号（酒店电话：020</w:t>
      </w:r>
      <w:r w:rsidR="00963700">
        <w:rPr>
          <w:rFonts w:asciiTheme="minorEastAsia" w:hAnsiTheme="minorEastAsia" w:hint="eastAsia"/>
          <w:sz w:val="24"/>
        </w:rPr>
        <w:t>-</w:t>
      </w:r>
      <w:r w:rsidR="00DE08DC">
        <w:rPr>
          <w:rFonts w:asciiTheme="minorEastAsia" w:hAnsiTheme="minorEastAsia" w:hint="eastAsia"/>
          <w:sz w:val="24"/>
        </w:rPr>
        <w:t>8737-2988</w:t>
      </w:r>
      <w:r w:rsidR="00205E38" w:rsidRPr="009A6963">
        <w:rPr>
          <w:rFonts w:asciiTheme="minorEastAsia" w:hAnsiTheme="minorEastAsia" w:hint="eastAsia"/>
          <w:sz w:val="24"/>
        </w:rPr>
        <w:t>）</w:t>
      </w:r>
    </w:p>
    <w:p w:rsidR="009A6963" w:rsidRPr="00963700" w:rsidRDefault="009A6963" w:rsidP="00963700">
      <w:pPr>
        <w:spacing w:line="360" w:lineRule="exact"/>
        <w:ind w:firstLineChars="202" w:firstLine="487"/>
        <w:rPr>
          <w:rFonts w:ascii="黑体" w:eastAsia="黑体" w:hAnsi="黑体"/>
          <w:b/>
          <w:sz w:val="24"/>
          <w:highlight w:val="yellow"/>
        </w:rPr>
      </w:pPr>
      <w:r w:rsidRPr="00963700">
        <w:rPr>
          <w:rFonts w:ascii="黑体" w:eastAsia="黑体" w:hAnsi="黑体" w:hint="eastAsia"/>
          <w:b/>
          <w:sz w:val="24"/>
          <w:highlight w:val="yellow"/>
        </w:rPr>
        <w:t>会务</w:t>
      </w:r>
      <w:r w:rsidR="00FF2571" w:rsidRPr="00963700">
        <w:rPr>
          <w:rFonts w:ascii="黑体" w:eastAsia="黑体" w:hAnsi="黑体" w:hint="eastAsia"/>
          <w:b/>
          <w:sz w:val="24"/>
          <w:highlight w:val="yellow"/>
        </w:rPr>
        <w:t>联系：</w:t>
      </w:r>
    </w:p>
    <w:p w:rsidR="003F7D1B" w:rsidRDefault="00205E38" w:rsidP="009A6963">
      <w:pPr>
        <w:spacing w:line="360" w:lineRule="exact"/>
        <w:ind w:firstLineChars="202" w:firstLine="485"/>
        <w:rPr>
          <w:rFonts w:asciiTheme="minorEastAsia" w:hAnsiTheme="minorEastAsia"/>
          <w:sz w:val="24"/>
        </w:rPr>
      </w:pPr>
      <w:r>
        <w:rPr>
          <w:rFonts w:asciiTheme="minorEastAsia" w:hAnsiTheme="minorEastAsia" w:hint="eastAsia"/>
          <w:sz w:val="24"/>
        </w:rPr>
        <w:t>1）</w:t>
      </w:r>
      <w:r w:rsidR="00CE14DD">
        <w:rPr>
          <w:rFonts w:asciiTheme="minorEastAsia" w:hAnsiTheme="minorEastAsia" w:hint="eastAsia"/>
          <w:sz w:val="24"/>
        </w:rPr>
        <w:t>、</w:t>
      </w:r>
      <w:r w:rsidR="00C76CA4">
        <w:rPr>
          <w:rFonts w:asciiTheme="minorEastAsia" w:hAnsiTheme="minorEastAsia" w:hint="eastAsia"/>
          <w:sz w:val="24"/>
        </w:rPr>
        <w:t>参会人员报名和接待：</w:t>
      </w:r>
      <w:r>
        <w:rPr>
          <w:rFonts w:asciiTheme="minorEastAsia" w:hAnsiTheme="minorEastAsia" w:hint="eastAsia"/>
          <w:sz w:val="24"/>
        </w:rPr>
        <w:t>请将姓名单位电话发短信给会务组联系人：</w:t>
      </w:r>
      <w:r w:rsidR="00CE14DD">
        <w:rPr>
          <w:rFonts w:asciiTheme="minorEastAsia" w:hAnsiTheme="minorEastAsia" w:hint="eastAsia"/>
          <w:sz w:val="24"/>
        </w:rPr>
        <w:t>刘小姐（13580532402），</w:t>
      </w:r>
      <w:r w:rsidR="003F7D1B">
        <w:rPr>
          <w:rFonts w:asciiTheme="minorEastAsia" w:hAnsiTheme="minorEastAsia" w:hint="eastAsia"/>
          <w:sz w:val="24"/>
        </w:rPr>
        <w:t>张小姐（18928702235），</w:t>
      </w:r>
      <w:proofErr w:type="gramStart"/>
      <w:r w:rsidR="009A6963">
        <w:rPr>
          <w:rFonts w:asciiTheme="minorEastAsia" w:hAnsiTheme="minorEastAsia" w:hint="eastAsia"/>
          <w:sz w:val="24"/>
        </w:rPr>
        <w:t>郦</w:t>
      </w:r>
      <w:proofErr w:type="gramEnd"/>
      <w:r w:rsidR="009A6963">
        <w:rPr>
          <w:rFonts w:asciiTheme="minorEastAsia" w:hAnsiTheme="minorEastAsia" w:hint="eastAsia"/>
          <w:sz w:val="24"/>
        </w:rPr>
        <w:t>小姐（</w:t>
      </w:r>
      <w:r w:rsidR="00C76CA4">
        <w:rPr>
          <w:rFonts w:asciiTheme="minorEastAsia" w:hAnsiTheme="minorEastAsia" w:hint="eastAsia"/>
          <w:sz w:val="24"/>
        </w:rPr>
        <w:t>15850586679</w:t>
      </w:r>
      <w:r w:rsidR="009A6963">
        <w:rPr>
          <w:rFonts w:asciiTheme="minorEastAsia" w:hAnsiTheme="minorEastAsia" w:hint="eastAsia"/>
          <w:sz w:val="24"/>
        </w:rPr>
        <w:t>），钟先生（13632453927）。</w:t>
      </w:r>
    </w:p>
    <w:p w:rsidR="00205E38" w:rsidRDefault="009A6963" w:rsidP="009A6963">
      <w:pPr>
        <w:spacing w:line="360" w:lineRule="exact"/>
        <w:ind w:firstLineChars="202" w:firstLine="485"/>
        <w:rPr>
          <w:rFonts w:asciiTheme="minorEastAsia" w:hAnsiTheme="minorEastAsia"/>
          <w:sz w:val="24"/>
        </w:rPr>
      </w:pPr>
      <w:r>
        <w:rPr>
          <w:rFonts w:asciiTheme="minorEastAsia" w:hAnsiTheme="minorEastAsia" w:hint="eastAsia"/>
          <w:sz w:val="24"/>
        </w:rPr>
        <w:t>需住宿</w:t>
      </w:r>
      <w:r w:rsidR="003F7D1B">
        <w:rPr>
          <w:rFonts w:asciiTheme="minorEastAsia" w:hAnsiTheme="minorEastAsia" w:hint="eastAsia"/>
          <w:sz w:val="24"/>
        </w:rPr>
        <w:t>的参会人员</w:t>
      </w:r>
      <w:r>
        <w:rPr>
          <w:rFonts w:asciiTheme="minorEastAsia" w:hAnsiTheme="minorEastAsia" w:hint="eastAsia"/>
          <w:sz w:val="24"/>
        </w:rPr>
        <w:t>请联系酒店</w:t>
      </w:r>
      <w:proofErr w:type="gramStart"/>
      <w:r>
        <w:rPr>
          <w:rFonts w:asciiTheme="minorEastAsia" w:hAnsiTheme="minorEastAsia" w:hint="eastAsia"/>
          <w:sz w:val="24"/>
        </w:rPr>
        <w:t>报会议</w:t>
      </w:r>
      <w:proofErr w:type="gramEnd"/>
      <w:r>
        <w:rPr>
          <w:rFonts w:asciiTheme="minorEastAsia" w:hAnsiTheme="minorEastAsia" w:hint="eastAsia"/>
          <w:sz w:val="24"/>
        </w:rPr>
        <w:t>名称享受协议价。</w:t>
      </w:r>
    </w:p>
    <w:p w:rsidR="00C76CA4" w:rsidRPr="00C76CA4" w:rsidRDefault="00C76CA4" w:rsidP="009A6963">
      <w:pPr>
        <w:spacing w:line="360" w:lineRule="exact"/>
        <w:ind w:firstLineChars="202" w:firstLine="485"/>
        <w:rPr>
          <w:rFonts w:asciiTheme="minorEastAsia" w:hAnsiTheme="minorEastAsia"/>
          <w:sz w:val="24"/>
        </w:rPr>
      </w:pPr>
      <w:r>
        <w:rPr>
          <w:rFonts w:asciiTheme="minorEastAsia" w:hAnsiTheme="minorEastAsia" w:hint="eastAsia"/>
          <w:sz w:val="24"/>
        </w:rPr>
        <w:t>2）、演讲专家和嘉宾接待：刘小姐（</w:t>
      </w:r>
      <w:r w:rsidR="00CE14DD">
        <w:rPr>
          <w:rFonts w:asciiTheme="minorEastAsia" w:hAnsiTheme="minorEastAsia" w:hint="eastAsia"/>
          <w:sz w:val="24"/>
        </w:rPr>
        <w:t>13822115276</w:t>
      </w:r>
      <w:r>
        <w:rPr>
          <w:rFonts w:asciiTheme="minorEastAsia" w:hAnsiTheme="minorEastAsia" w:hint="eastAsia"/>
          <w:sz w:val="24"/>
        </w:rPr>
        <w:t>），</w:t>
      </w:r>
      <w:r w:rsidR="00CE14DD">
        <w:rPr>
          <w:rFonts w:asciiTheme="minorEastAsia" w:hAnsiTheme="minorEastAsia" w:hint="eastAsia"/>
          <w:sz w:val="24"/>
        </w:rPr>
        <w:t>赖先生（</w:t>
      </w:r>
      <w:r>
        <w:rPr>
          <w:rFonts w:asciiTheme="minorEastAsia" w:hAnsiTheme="minorEastAsia" w:hint="eastAsia"/>
          <w:sz w:val="24"/>
        </w:rPr>
        <w:t>13922271761</w:t>
      </w:r>
      <w:r w:rsidR="00CE14DD">
        <w:rPr>
          <w:rFonts w:asciiTheme="minorEastAsia" w:hAnsiTheme="minorEastAsia" w:hint="eastAsia"/>
          <w:sz w:val="24"/>
        </w:rPr>
        <w:t>），钟先生（13632453927）</w:t>
      </w:r>
    </w:p>
    <w:p w:rsidR="00FF2571" w:rsidRDefault="00840FED" w:rsidP="009A6963">
      <w:pPr>
        <w:spacing w:line="360" w:lineRule="exact"/>
        <w:ind w:firstLineChars="202" w:firstLine="485"/>
        <w:rPr>
          <w:rFonts w:asciiTheme="minorEastAsia" w:hAnsiTheme="minorEastAsia"/>
          <w:sz w:val="24"/>
        </w:rPr>
      </w:pPr>
      <w:r>
        <w:rPr>
          <w:rFonts w:asciiTheme="minorEastAsia" w:hAnsiTheme="minorEastAsia" w:hint="eastAsia"/>
          <w:sz w:val="24"/>
        </w:rPr>
        <w:t>2）、</w:t>
      </w:r>
      <w:r w:rsidR="00CE14DD">
        <w:rPr>
          <w:rFonts w:asciiTheme="minorEastAsia" w:hAnsiTheme="minorEastAsia" w:hint="eastAsia"/>
          <w:sz w:val="24"/>
        </w:rPr>
        <w:t>了解本次会议信息或获得会议资料</w:t>
      </w:r>
      <w:r w:rsidR="00FF2571" w:rsidRPr="00412F20">
        <w:rPr>
          <w:rFonts w:asciiTheme="minorEastAsia" w:hAnsiTheme="minorEastAsia" w:hint="eastAsia"/>
          <w:sz w:val="24"/>
        </w:rPr>
        <w:t>请实名制登录“广东制药工程”QQ群（</w:t>
      </w:r>
      <w:proofErr w:type="gramStart"/>
      <w:r w:rsidR="00FF2571" w:rsidRPr="00412F20">
        <w:rPr>
          <w:rFonts w:asciiTheme="minorEastAsia" w:hAnsiTheme="minorEastAsia" w:hint="eastAsia"/>
          <w:sz w:val="24"/>
        </w:rPr>
        <w:t>群号</w:t>
      </w:r>
      <w:proofErr w:type="gramEnd"/>
      <w:r w:rsidR="00FF2571" w:rsidRPr="00412F20">
        <w:rPr>
          <w:rFonts w:asciiTheme="minorEastAsia" w:hAnsiTheme="minorEastAsia"/>
          <w:sz w:val="24"/>
        </w:rPr>
        <w:t>:384-180-414</w:t>
      </w:r>
      <w:r w:rsidR="00FF2571" w:rsidRPr="00412F20">
        <w:rPr>
          <w:rFonts w:asciiTheme="minorEastAsia" w:hAnsiTheme="minorEastAsia" w:hint="eastAsia"/>
          <w:sz w:val="24"/>
        </w:rPr>
        <w:t>），</w:t>
      </w:r>
      <w:proofErr w:type="gramStart"/>
      <w:r w:rsidR="00FF2571" w:rsidRPr="00412F20">
        <w:rPr>
          <w:rFonts w:asciiTheme="minorEastAsia" w:hAnsiTheme="minorEastAsia" w:hint="eastAsia"/>
          <w:sz w:val="24"/>
        </w:rPr>
        <w:t>或</w:t>
      </w:r>
      <w:r w:rsidR="00CE14DD">
        <w:rPr>
          <w:rFonts w:asciiTheme="minorEastAsia" w:hAnsiTheme="minorEastAsia" w:hint="eastAsia"/>
          <w:sz w:val="24"/>
        </w:rPr>
        <w:t>微信</w:t>
      </w:r>
      <w:r w:rsidR="00FF2571" w:rsidRPr="00412F20">
        <w:rPr>
          <w:rFonts w:asciiTheme="minorEastAsia" w:hAnsiTheme="minorEastAsia" w:hint="eastAsia"/>
          <w:sz w:val="24"/>
        </w:rPr>
        <w:t>登录</w:t>
      </w:r>
      <w:proofErr w:type="gramEnd"/>
      <w:r w:rsidR="00CE14DD">
        <w:rPr>
          <w:rFonts w:asciiTheme="minorEastAsia" w:hAnsiTheme="minorEastAsia" w:hint="eastAsia"/>
          <w:sz w:val="24"/>
        </w:rPr>
        <w:t>“广东制药工程叁群”、</w:t>
      </w:r>
      <w:r w:rsidR="00FF2571" w:rsidRPr="00412F20">
        <w:rPr>
          <w:rFonts w:asciiTheme="minorEastAsia" w:hAnsiTheme="minorEastAsia" w:hint="eastAsia"/>
          <w:sz w:val="24"/>
        </w:rPr>
        <w:t>“CSEP</w:t>
      </w:r>
      <w:r w:rsidR="00FF2571">
        <w:rPr>
          <w:rFonts w:asciiTheme="minorEastAsia" w:hAnsiTheme="minorEastAsia" w:hint="eastAsia"/>
          <w:sz w:val="24"/>
        </w:rPr>
        <w:t>技术转移和验证专题组”</w:t>
      </w:r>
      <w:proofErr w:type="gramStart"/>
      <w:r w:rsidR="00FF2571">
        <w:rPr>
          <w:rFonts w:asciiTheme="minorEastAsia" w:hAnsiTheme="minorEastAsia" w:hint="eastAsia"/>
          <w:sz w:val="24"/>
        </w:rPr>
        <w:t>微信群</w:t>
      </w:r>
      <w:proofErr w:type="gramEnd"/>
      <w:r w:rsidR="00FF2571">
        <w:rPr>
          <w:rFonts w:asciiTheme="minorEastAsia" w:hAnsiTheme="minorEastAsia" w:hint="eastAsia"/>
          <w:sz w:val="24"/>
        </w:rPr>
        <w:t>，</w:t>
      </w:r>
      <w:r w:rsidR="00FF2571" w:rsidRPr="00412F20">
        <w:rPr>
          <w:rFonts w:asciiTheme="minorEastAsia" w:hAnsiTheme="minorEastAsia"/>
          <w:sz w:val="24"/>
        </w:rPr>
        <w:t>或联系</w:t>
      </w:r>
      <w:r w:rsidR="00FF2571" w:rsidRPr="00412F20">
        <w:rPr>
          <w:rFonts w:asciiTheme="minorEastAsia" w:hAnsiTheme="minorEastAsia" w:hint="eastAsia"/>
          <w:sz w:val="24"/>
        </w:rPr>
        <w:t>广东省药学制药工程专委会（</w:t>
      </w:r>
      <w:r w:rsidR="00FF2571" w:rsidRPr="00412F20">
        <w:rPr>
          <w:rFonts w:asciiTheme="minorEastAsia" w:hAnsiTheme="minorEastAsia"/>
          <w:sz w:val="24"/>
        </w:rPr>
        <w:t>QQ</w:t>
      </w:r>
      <w:r w:rsidR="00FF2571" w:rsidRPr="00412F20">
        <w:rPr>
          <w:rFonts w:asciiTheme="minorEastAsia" w:hAnsiTheme="minorEastAsia" w:hint="eastAsia"/>
          <w:sz w:val="24"/>
        </w:rPr>
        <w:t>/Email: 127-507-8877）</w:t>
      </w:r>
      <w:r w:rsidR="00FF2571">
        <w:rPr>
          <w:rFonts w:asciiTheme="minorEastAsia" w:hAnsiTheme="minorEastAsia" w:hint="eastAsia"/>
          <w:sz w:val="24"/>
        </w:rPr>
        <w:t>。</w:t>
      </w:r>
    </w:p>
    <w:p w:rsidR="00FF2571" w:rsidRDefault="00FF2571" w:rsidP="00FF2571">
      <w:pPr>
        <w:spacing w:line="360" w:lineRule="auto"/>
        <w:ind w:firstLineChars="202" w:firstLine="566"/>
        <w:rPr>
          <w:sz w:val="28"/>
        </w:rPr>
      </w:pPr>
    </w:p>
    <w:p w:rsidR="00FF2571" w:rsidRPr="00FF2571" w:rsidRDefault="00FF2571" w:rsidP="00412F20">
      <w:pPr>
        <w:spacing w:line="360" w:lineRule="auto"/>
        <w:ind w:firstLineChars="202" w:firstLine="485"/>
        <w:rPr>
          <w:rFonts w:asciiTheme="minorEastAsia" w:hAnsiTheme="minorEastAsia"/>
          <w:sz w:val="24"/>
        </w:rPr>
      </w:pPr>
    </w:p>
    <w:p w:rsidR="000B70AD" w:rsidRDefault="000B70AD">
      <w:pPr>
        <w:widowControl/>
        <w:jc w:val="left"/>
        <w:rPr>
          <w:sz w:val="28"/>
        </w:rPr>
      </w:pPr>
      <w:r>
        <w:rPr>
          <w:sz w:val="28"/>
        </w:rPr>
        <w:br w:type="page"/>
      </w:r>
    </w:p>
    <w:tbl>
      <w:tblPr>
        <w:tblStyle w:val="a4"/>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1242"/>
        <w:gridCol w:w="2694"/>
        <w:gridCol w:w="141"/>
        <w:gridCol w:w="142"/>
        <w:gridCol w:w="6463"/>
      </w:tblGrid>
      <w:tr w:rsidR="00146765" w:rsidRPr="00C76CA4">
        <w:tc>
          <w:tcPr>
            <w:tcW w:w="10682" w:type="dxa"/>
            <w:gridSpan w:val="5"/>
            <w:shd w:val="clear" w:color="auto" w:fill="F2DBDB" w:themeFill="accent2" w:themeFillTint="33"/>
          </w:tcPr>
          <w:p w:rsidR="00146765" w:rsidRPr="00C76CA4" w:rsidRDefault="00C76CA4" w:rsidP="00C76CA4">
            <w:pPr>
              <w:widowControl/>
              <w:jc w:val="left"/>
              <w:rPr>
                <w:rFonts w:ascii="幼圆" w:eastAsia="幼圆"/>
                <w:b/>
                <w:szCs w:val="18"/>
              </w:rPr>
            </w:pPr>
            <w:r w:rsidRPr="00C76CA4">
              <w:rPr>
                <w:rFonts w:ascii="幼圆" w:eastAsia="幼圆" w:hint="eastAsia"/>
                <w:b/>
                <w:szCs w:val="18"/>
              </w:rPr>
              <w:lastRenderedPageBreak/>
              <w:t>药品技术转移和许可持有人制度研讨会</w:t>
            </w:r>
            <w:r>
              <w:rPr>
                <w:rFonts w:ascii="幼圆" w:eastAsia="幼圆" w:hint="eastAsia"/>
                <w:b/>
                <w:szCs w:val="18"/>
              </w:rPr>
              <w:t xml:space="preserve"> - </w:t>
            </w:r>
            <w:r w:rsidR="00146765" w:rsidRPr="00C76CA4">
              <w:rPr>
                <w:rFonts w:ascii="幼圆" w:eastAsia="幼圆" w:hint="eastAsia"/>
                <w:b/>
                <w:szCs w:val="18"/>
              </w:rPr>
              <w:t>会议议程</w:t>
            </w:r>
            <w:r w:rsidR="00444C92">
              <w:rPr>
                <w:rFonts w:ascii="幼圆" w:eastAsia="幼圆" w:hint="eastAsia"/>
                <w:b/>
                <w:szCs w:val="18"/>
              </w:rPr>
              <w:t xml:space="preserve">                        </w:t>
            </w:r>
            <w:r w:rsidR="00444C92" w:rsidRPr="00444C92">
              <w:rPr>
                <w:rFonts w:ascii="幼圆" w:eastAsia="幼圆" w:hint="eastAsia"/>
                <w:b/>
                <w:szCs w:val="18"/>
                <w:highlight w:val="yellow"/>
              </w:rPr>
              <w:t>地点：凯旋华美达酒店</w:t>
            </w:r>
          </w:p>
        </w:tc>
      </w:tr>
      <w:tr w:rsidR="00840FED" w:rsidRPr="00C76CA4" w:rsidTr="00C76CA4">
        <w:trPr>
          <w:trHeight w:val="205"/>
        </w:trPr>
        <w:tc>
          <w:tcPr>
            <w:tcW w:w="1242" w:type="dxa"/>
          </w:tcPr>
          <w:p w:rsidR="00840FED" w:rsidRPr="00C76CA4" w:rsidRDefault="00840FED" w:rsidP="009A6963">
            <w:pPr>
              <w:widowControl/>
              <w:spacing w:line="240" w:lineRule="exact"/>
              <w:jc w:val="left"/>
              <w:rPr>
                <w:rFonts w:ascii="仿宋" w:eastAsia="仿宋" w:hAnsi="仿宋"/>
                <w:sz w:val="18"/>
                <w:szCs w:val="18"/>
              </w:rPr>
            </w:pPr>
            <w:r w:rsidRPr="00C76CA4">
              <w:rPr>
                <w:rFonts w:ascii="仿宋" w:eastAsia="仿宋" w:hAnsi="仿宋" w:hint="eastAsia"/>
                <w:sz w:val="18"/>
                <w:szCs w:val="18"/>
              </w:rPr>
              <w:t>8:30-9:00</w:t>
            </w:r>
          </w:p>
        </w:tc>
        <w:tc>
          <w:tcPr>
            <w:tcW w:w="9440" w:type="dxa"/>
            <w:gridSpan w:val="4"/>
          </w:tcPr>
          <w:p w:rsidR="00840FED" w:rsidRDefault="00840FED" w:rsidP="009A6963">
            <w:pPr>
              <w:widowControl/>
              <w:spacing w:line="240" w:lineRule="exact"/>
              <w:jc w:val="left"/>
              <w:rPr>
                <w:rFonts w:ascii="仿宋" w:eastAsia="仿宋" w:hAnsi="仿宋"/>
                <w:sz w:val="18"/>
                <w:szCs w:val="18"/>
              </w:rPr>
            </w:pPr>
            <w:r w:rsidRPr="00C76CA4">
              <w:rPr>
                <w:rFonts w:ascii="仿宋" w:eastAsia="仿宋" w:hAnsi="仿宋" w:hint="eastAsia"/>
                <w:sz w:val="18"/>
                <w:szCs w:val="18"/>
              </w:rPr>
              <w:t>中国药学会制药工程专委会、广东省药学会领导讲话</w:t>
            </w:r>
            <w:r w:rsidR="009A6963">
              <w:rPr>
                <w:rFonts w:ascii="仿宋" w:eastAsia="仿宋" w:hAnsi="仿宋" w:hint="eastAsia"/>
                <w:sz w:val="18"/>
                <w:szCs w:val="18"/>
              </w:rPr>
              <w:t>并</w:t>
            </w:r>
            <w:r w:rsidRPr="00C76CA4">
              <w:rPr>
                <w:rFonts w:ascii="仿宋" w:eastAsia="仿宋" w:hAnsi="仿宋" w:hint="eastAsia"/>
                <w:sz w:val="18"/>
                <w:szCs w:val="18"/>
              </w:rPr>
              <w:t>致开幕词</w:t>
            </w:r>
            <w:r w:rsidR="009A6963">
              <w:rPr>
                <w:rFonts w:ascii="仿宋" w:eastAsia="仿宋" w:hAnsi="仿宋" w:hint="eastAsia"/>
                <w:sz w:val="18"/>
                <w:szCs w:val="18"/>
              </w:rPr>
              <w:t xml:space="preserve">                    </w:t>
            </w:r>
            <w:r w:rsidR="009A6963" w:rsidRPr="00963700">
              <w:rPr>
                <w:rFonts w:ascii="仿宋" w:eastAsia="仿宋" w:hAnsi="仿宋" w:hint="eastAsia"/>
                <w:b/>
                <w:sz w:val="18"/>
                <w:szCs w:val="18"/>
              </w:rPr>
              <w:t>主持人：</w:t>
            </w:r>
            <w:r w:rsidR="009A6963">
              <w:rPr>
                <w:rFonts w:ascii="仿宋" w:eastAsia="仿宋" w:hAnsi="仿宋" w:hint="eastAsia"/>
                <w:sz w:val="18"/>
                <w:szCs w:val="18"/>
              </w:rPr>
              <w:t>杨</w:t>
            </w:r>
            <w:proofErr w:type="gramStart"/>
            <w:r w:rsidR="009A6963">
              <w:rPr>
                <w:rFonts w:ascii="仿宋" w:eastAsia="仿宋" w:hAnsi="仿宋" w:hint="eastAsia"/>
                <w:sz w:val="18"/>
                <w:szCs w:val="18"/>
              </w:rPr>
              <w:t>冬玲副</w:t>
            </w:r>
            <w:proofErr w:type="gramEnd"/>
            <w:r w:rsidR="009A6963">
              <w:rPr>
                <w:rFonts w:ascii="仿宋" w:eastAsia="仿宋" w:hAnsi="仿宋" w:hint="eastAsia"/>
                <w:sz w:val="18"/>
                <w:szCs w:val="18"/>
              </w:rPr>
              <w:t>主任委员</w:t>
            </w:r>
          </w:p>
          <w:p w:rsidR="009A6963" w:rsidRPr="00C76CA4" w:rsidRDefault="009A6963" w:rsidP="009A6963">
            <w:pPr>
              <w:widowControl/>
              <w:spacing w:line="240" w:lineRule="exact"/>
              <w:jc w:val="left"/>
              <w:rPr>
                <w:rFonts w:ascii="仿宋" w:eastAsia="仿宋" w:hAnsi="仿宋"/>
                <w:sz w:val="18"/>
                <w:szCs w:val="18"/>
              </w:rPr>
            </w:pPr>
            <w:r>
              <w:rPr>
                <w:rFonts w:ascii="仿宋" w:eastAsia="仿宋" w:hAnsi="仿宋" w:hint="eastAsia"/>
                <w:sz w:val="18"/>
                <w:szCs w:val="18"/>
              </w:rPr>
              <w:t xml:space="preserve">                                                                            广东省药学会制药工程专委会</w:t>
            </w:r>
          </w:p>
        </w:tc>
      </w:tr>
      <w:tr w:rsidR="00AA1889" w:rsidRPr="00C76CA4">
        <w:trPr>
          <w:trHeight w:val="48"/>
        </w:trPr>
        <w:tc>
          <w:tcPr>
            <w:tcW w:w="10682" w:type="dxa"/>
            <w:gridSpan w:val="5"/>
          </w:tcPr>
          <w:p w:rsidR="00AA1889" w:rsidRDefault="00AA1889" w:rsidP="009A6963">
            <w:pPr>
              <w:widowControl/>
              <w:spacing w:line="240" w:lineRule="exact"/>
              <w:jc w:val="left"/>
              <w:rPr>
                <w:rFonts w:ascii="仿宋" w:eastAsia="仿宋" w:hAnsi="仿宋"/>
                <w:sz w:val="18"/>
                <w:szCs w:val="18"/>
              </w:rPr>
            </w:pPr>
            <w:r w:rsidRPr="00C76CA4">
              <w:rPr>
                <w:rFonts w:ascii="幼圆" w:eastAsia="幼圆" w:hint="eastAsia"/>
                <w:b/>
                <w:szCs w:val="18"/>
              </w:rPr>
              <w:t>专题研讨：</w:t>
            </w:r>
            <w:r w:rsidRPr="00C76CA4">
              <w:rPr>
                <w:rFonts w:ascii="幼圆" w:eastAsia="幼圆"/>
                <w:szCs w:val="18"/>
              </w:rPr>
              <w:t>技术转移和验证</w:t>
            </w:r>
            <w:r w:rsidR="009A6963">
              <w:rPr>
                <w:rFonts w:ascii="幼圆" w:eastAsia="幼圆" w:hint="eastAsia"/>
                <w:szCs w:val="18"/>
              </w:rPr>
              <w:t xml:space="preserve">                                                     </w:t>
            </w:r>
            <w:r w:rsidR="009A6963" w:rsidRPr="00963700">
              <w:rPr>
                <w:rFonts w:ascii="仿宋" w:eastAsia="仿宋" w:hAnsi="仿宋" w:hint="eastAsia"/>
                <w:b/>
                <w:sz w:val="18"/>
                <w:szCs w:val="18"/>
              </w:rPr>
              <w:t>主持人：</w:t>
            </w:r>
            <w:r w:rsidR="009A6963" w:rsidRPr="009A6963">
              <w:rPr>
                <w:rFonts w:ascii="仿宋" w:eastAsia="仿宋" w:hAnsi="仿宋" w:hint="eastAsia"/>
                <w:sz w:val="18"/>
                <w:szCs w:val="18"/>
              </w:rPr>
              <w:t>金方</w:t>
            </w:r>
            <w:r w:rsidR="009A6963">
              <w:rPr>
                <w:rFonts w:ascii="仿宋" w:eastAsia="仿宋" w:hAnsi="仿宋" w:hint="eastAsia"/>
                <w:sz w:val="18"/>
                <w:szCs w:val="18"/>
              </w:rPr>
              <w:t>秘书长</w:t>
            </w:r>
          </w:p>
          <w:p w:rsidR="009A6963" w:rsidRPr="00C76CA4" w:rsidRDefault="009A6963" w:rsidP="009A6963">
            <w:pPr>
              <w:widowControl/>
              <w:spacing w:line="240" w:lineRule="exact"/>
              <w:jc w:val="left"/>
              <w:rPr>
                <w:rFonts w:ascii="幼圆" w:eastAsia="幼圆"/>
                <w:b/>
                <w:szCs w:val="18"/>
              </w:rPr>
            </w:pPr>
            <w:r>
              <w:rPr>
                <w:rFonts w:ascii="仿宋" w:eastAsia="仿宋" w:hAnsi="仿宋" w:hint="eastAsia"/>
                <w:sz w:val="18"/>
                <w:szCs w:val="18"/>
              </w:rPr>
              <w:t xml:space="preserve">                                                                                          中国药学会制药工程专委会</w:t>
            </w:r>
          </w:p>
        </w:tc>
      </w:tr>
      <w:tr w:rsidR="000B70AD" w:rsidRPr="00C76CA4" w:rsidTr="00C76CA4">
        <w:trPr>
          <w:trHeight w:val="76"/>
        </w:trPr>
        <w:tc>
          <w:tcPr>
            <w:tcW w:w="1242" w:type="dxa"/>
            <w:shd w:val="clear" w:color="auto" w:fill="F2DBDB" w:themeFill="accent2" w:themeFillTint="33"/>
          </w:tcPr>
          <w:p w:rsidR="000B70AD" w:rsidRPr="00C76CA4" w:rsidRDefault="00840FED" w:rsidP="00DE08DC">
            <w:pPr>
              <w:widowControl/>
              <w:jc w:val="left"/>
              <w:rPr>
                <w:rFonts w:ascii="幼圆" w:eastAsia="幼圆"/>
                <w:sz w:val="18"/>
                <w:szCs w:val="18"/>
              </w:rPr>
            </w:pPr>
            <w:r w:rsidRPr="00C76CA4">
              <w:rPr>
                <w:rFonts w:ascii="幼圆" w:eastAsia="幼圆" w:hint="eastAsia"/>
                <w:sz w:val="18"/>
                <w:szCs w:val="18"/>
              </w:rPr>
              <w:t>9:00-9</w:t>
            </w:r>
            <w:r w:rsidR="003F77B1" w:rsidRPr="00C76CA4">
              <w:rPr>
                <w:rFonts w:ascii="幼圆" w:eastAsia="幼圆" w:hint="eastAsia"/>
                <w:sz w:val="18"/>
                <w:szCs w:val="18"/>
              </w:rPr>
              <w:t>:5</w:t>
            </w:r>
            <w:r w:rsidR="00DE08DC">
              <w:rPr>
                <w:rFonts w:ascii="幼圆" w:eastAsia="幼圆" w:hint="eastAsia"/>
                <w:sz w:val="18"/>
                <w:szCs w:val="18"/>
              </w:rPr>
              <w:t>5</w:t>
            </w:r>
          </w:p>
        </w:tc>
        <w:tc>
          <w:tcPr>
            <w:tcW w:w="2835" w:type="dxa"/>
            <w:gridSpan w:val="2"/>
            <w:shd w:val="clear" w:color="auto" w:fill="F2DBDB" w:themeFill="accent2" w:themeFillTint="33"/>
          </w:tcPr>
          <w:p w:rsidR="000B70AD" w:rsidRPr="00C76CA4" w:rsidRDefault="000B70AD" w:rsidP="00C76CA4">
            <w:pPr>
              <w:widowControl/>
              <w:jc w:val="left"/>
              <w:rPr>
                <w:rFonts w:ascii="幼圆" w:eastAsia="幼圆"/>
                <w:sz w:val="18"/>
                <w:szCs w:val="18"/>
              </w:rPr>
            </w:pPr>
            <w:r w:rsidRPr="00C76CA4">
              <w:rPr>
                <w:rFonts w:ascii="幼圆" w:eastAsia="幼圆" w:hint="eastAsia"/>
                <w:sz w:val="18"/>
                <w:szCs w:val="18"/>
              </w:rPr>
              <w:t>刘峰</w:t>
            </w:r>
            <w:r w:rsidR="00234291" w:rsidRPr="00C76CA4">
              <w:rPr>
                <w:rFonts w:ascii="幼圆" w:eastAsia="幼圆" w:hint="eastAsia"/>
                <w:sz w:val="18"/>
                <w:szCs w:val="18"/>
              </w:rPr>
              <w:t>博士</w:t>
            </w:r>
            <w:r w:rsidRPr="00C76CA4">
              <w:rPr>
                <w:rFonts w:ascii="幼圆" w:eastAsia="幼圆" w:hint="eastAsia"/>
                <w:sz w:val="18"/>
                <w:szCs w:val="18"/>
              </w:rPr>
              <w:t>（广州帝奇）</w:t>
            </w:r>
          </w:p>
        </w:tc>
        <w:tc>
          <w:tcPr>
            <w:tcW w:w="6605" w:type="dxa"/>
            <w:gridSpan w:val="2"/>
            <w:shd w:val="clear" w:color="auto" w:fill="F2DBDB" w:themeFill="accent2" w:themeFillTint="33"/>
          </w:tcPr>
          <w:p w:rsidR="000B70AD" w:rsidRPr="00C76CA4" w:rsidRDefault="000B70AD" w:rsidP="00C76CA4">
            <w:pPr>
              <w:widowControl/>
              <w:jc w:val="left"/>
              <w:rPr>
                <w:rFonts w:ascii="幼圆" w:eastAsia="幼圆"/>
                <w:sz w:val="18"/>
                <w:szCs w:val="18"/>
              </w:rPr>
            </w:pPr>
            <w:r w:rsidRPr="00C76CA4">
              <w:rPr>
                <w:rFonts w:ascii="幼圆" w:eastAsia="幼圆" w:hAnsiTheme="minorEastAsia" w:cs="Times New Roman" w:hint="eastAsia"/>
                <w:kern w:val="0"/>
                <w:sz w:val="18"/>
                <w:szCs w:val="18"/>
              </w:rPr>
              <w:t>固体制剂在技术转移过程中的质量和风险控制</w:t>
            </w:r>
          </w:p>
        </w:tc>
      </w:tr>
      <w:tr w:rsidR="000B70AD" w:rsidRPr="00C76CA4" w:rsidTr="00C76CA4">
        <w:trPr>
          <w:trHeight w:val="760"/>
        </w:trPr>
        <w:tc>
          <w:tcPr>
            <w:tcW w:w="1242" w:type="dxa"/>
          </w:tcPr>
          <w:p w:rsidR="00291353" w:rsidRPr="003F6B55" w:rsidRDefault="00291353" w:rsidP="00C76CA4">
            <w:pPr>
              <w:widowControl/>
              <w:jc w:val="left"/>
              <w:rPr>
                <w:rFonts w:ascii="宋体" w:eastAsia="宋体" w:hAnsi="宋体"/>
                <w:sz w:val="15"/>
                <w:szCs w:val="18"/>
              </w:rPr>
            </w:pPr>
          </w:p>
          <w:p w:rsidR="000B70AD" w:rsidRPr="003F6B55" w:rsidRDefault="003F77B1" w:rsidP="00C76CA4">
            <w:pPr>
              <w:widowControl/>
              <w:jc w:val="left"/>
              <w:rPr>
                <w:rFonts w:ascii="宋体" w:eastAsia="宋体" w:hAnsi="宋体"/>
                <w:sz w:val="15"/>
                <w:szCs w:val="18"/>
              </w:rPr>
            </w:pPr>
            <w:r w:rsidRPr="003F6B55">
              <w:rPr>
                <w:rFonts w:ascii="宋体" w:eastAsia="宋体" w:hAnsi="宋体" w:hint="eastAsia"/>
                <w:sz w:val="15"/>
                <w:szCs w:val="18"/>
              </w:rPr>
              <w:t>4</w:t>
            </w:r>
            <w:r w:rsidR="00291353" w:rsidRPr="003F6B55">
              <w:rPr>
                <w:rFonts w:ascii="宋体" w:eastAsia="宋体" w:hAnsi="宋体" w:hint="eastAsia"/>
                <w:sz w:val="15"/>
                <w:szCs w:val="18"/>
              </w:rPr>
              <w:t>5min报告</w:t>
            </w:r>
          </w:p>
          <w:p w:rsidR="00291353" w:rsidRPr="003F6B55" w:rsidRDefault="00DE08DC" w:rsidP="00C76CA4">
            <w:pPr>
              <w:widowControl/>
              <w:jc w:val="left"/>
              <w:rPr>
                <w:rFonts w:ascii="宋体" w:eastAsia="宋体" w:hAnsi="宋体"/>
                <w:sz w:val="15"/>
                <w:szCs w:val="18"/>
              </w:rPr>
            </w:pPr>
            <w:r>
              <w:rPr>
                <w:rFonts w:ascii="宋体" w:eastAsia="宋体" w:hAnsi="宋体" w:hint="eastAsia"/>
                <w:sz w:val="15"/>
                <w:szCs w:val="18"/>
              </w:rPr>
              <w:t>10</w:t>
            </w:r>
            <w:r w:rsidR="00291353" w:rsidRPr="003F6B55">
              <w:rPr>
                <w:rFonts w:ascii="宋体" w:eastAsia="宋体" w:hAnsi="宋体" w:hint="eastAsia"/>
                <w:sz w:val="15"/>
                <w:szCs w:val="18"/>
              </w:rPr>
              <w:t>min讨论</w:t>
            </w:r>
          </w:p>
        </w:tc>
        <w:tc>
          <w:tcPr>
            <w:tcW w:w="9440" w:type="dxa"/>
            <w:gridSpan w:val="4"/>
          </w:tcPr>
          <w:p w:rsidR="000B70AD" w:rsidRPr="00C76CA4" w:rsidRDefault="000B70AD" w:rsidP="00C76CA4">
            <w:pPr>
              <w:widowControl/>
              <w:spacing w:line="240" w:lineRule="exact"/>
              <w:jc w:val="left"/>
              <w:rPr>
                <w:rFonts w:ascii="仿宋" w:eastAsia="仿宋" w:hAnsi="仿宋"/>
                <w:sz w:val="18"/>
                <w:szCs w:val="18"/>
              </w:rPr>
            </w:pPr>
            <w:r w:rsidRPr="00C76CA4">
              <w:rPr>
                <w:rFonts w:ascii="仿宋" w:eastAsia="仿宋" w:hAnsi="仿宋" w:hint="eastAsia"/>
                <w:sz w:val="18"/>
                <w:szCs w:val="18"/>
              </w:rPr>
              <w:t>刘锋</w:t>
            </w:r>
            <w:r w:rsidR="00A00615" w:rsidRPr="00C76CA4">
              <w:rPr>
                <w:rFonts w:ascii="仿宋" w:eastAsia="仿宋" w:hAnsi="仿宋" w:hint="eastAsia"/>
                <w:sz w:val="18"/>
                <w:szCs w:val="18"/>
              </w:rPr>
              <w:t>先生先后获得</w:t>
            </w:r>
            <w:r w:rsidRPr="00C76CA4">
              <w:rPr>
                <w:rFonts w:ascii="仿宋" w:eastAsia="仿宋" w:hAnsi="仿宋" w:hint="eastAsia"/>
                <w:sz w:val="18"/>
                <w:szCs w:val="18"/>
              </w:rPr>
              <w:t>化学博士、药剂学博士后、工商管理硕士</w:t>
            </w:r>
            <w:r w:rsidR="00A00615" w:rsidRPr="00C76CA4">
              <w:rPr>
                <w:rFonts w:ascii="仿宋" w:eastAsia="仿宋" w:hAnsi="仿宋" w:hint="eastAsia"/>
                <w:sz w:val="18"/>
                <w:szCs w:val="18"/>
              </w:rPr>
              <w:t>学位；</w:t>
            </w:r>
            <w:r w:rsidRPr="00C76CA4">
              <w:rPr>
                <w:rFonts w:ascii="仿宋" w:eastAsia="仿宋" w:hAnsi="仿宋" w:hint="eastAsia"/>
                <w:sz w:val="18"/>
                <w:szCs w:val="18"/>
              </w:rPr>
              <w:t>刘博士曾任职数家著名制药企业，如</w:t>
            </w:r>
            <w:proofErr w:type="spellStart"/>
            <w:r w:rsidRPr="00C76CA4">
              <w:rPr>
                <w:rFonts w:ascii="仿宋" w:eastAsia="仿宋" w:hAnsi="仿宋"/>
                <w:sz w:val="18"/>
                <w:szCs w:val="18"/>
              </w:rPr>
              <w:t>MacroMed</w:t>
            </w:r>
            <w:proofErr w:type="spellEnd"/>
            <w:r w:rsidRPr="00C76CA4">
              <w:rPr>
                <w:rFonts w:ascii="仿宋" w:eastAsia="仿宋" w:hAnsi="仿宋"/>
                <w:sz w:val="18"/>
                <w:szCs w:val="18"/>
              </w:rPr>
              <w:t xml:space="preserve"> </w:t>
            </w:r>
            <w:proofErr w:type="spellStart"/>
            <w:r w:rsidRPr="00C76CA4">
              <w:rPr>
                <w:rFonts w:ascii="仿宋" w:eastAsia="仿宋" w:hAnsi="仿宋"/>
                <w:sz w:val="18"/>
                <w:szCs w:val="18"/>
              </w:rPr>
              <w:t>Inc</w:t>
            </w:r>
            <w:proofErr w:type="spellEnd"/>
            <w:r w:rsidRPr="00C76CA4">
              <w:rPr>
                <w:rFonts w:ascii="仿宋" w:eastAsia="仿宋" w:hAnsi="仿宋" w:hint="eastAsia"/>
                <w:sz w:val="18"/>
                <w:szCs w:val="18"/>
              </w:rPr>
              <w:t>，</w:t>
            </w:r>
            <w:r w:rsidRPr="00C76CA4">
              <w:rPr>
                <w:rFonts w:ascii="仿宋" w:eastAsia="仿宋" w:hAnsi="仿宋"/>
                <w:sz w:val="18"/>
                <w:szCs w:val="18"/>
              </w:rPr>
              <w:t>Perrigo</w:t>
            </w:r>
            <w:r w:rsidRPr="00C76CA4">
              <w:rPr>
                <w:rFonts w:ascii="仿宋" w:eastAsia="仿宋" w:hAnsi="仿宋" w:hint="eastAsia"/>
                <w:sz w:val="18"/>
                <w:szCs w:val="18"/>
              </w:rPr>
              <w:t>，</w:t>
            </w:r>
            <w:proofErr w:type="spellStart"/>
            <w:r w:rsidRPr="00C76CA4">
              <w:rPr>
                <w:rFonts w:ascii="仿宋" w:eastAsia="仿宋" w:hAnsi="仿宋"/>
                <w:sz w:val="18"/>
                <w:szCs w:val="18"/>
              </w:rPr>
              <w:t>Catalent</w:t>
            </w:r>
            <w:proofErr w:type="spellEnd"/>
            <w:r w:rsidRPr="00C76CA4">
              <w:rPr>
                <w:rFonts w:ascii="仿宋" w:eastAsia="仿宋" w:hAnsi="仿宋"/>
                <w:sz w:val="18"/>
                <w:szCs w:val="18"/>
              </w:rPr>
              <w:t xml:space="preserve"> Pharmaceutical Solution </w:t>
            </w:r>
            <w:proofErr w:type="spellStart"/>
            <w:r w:rsidRPr="00C76CA4">
              <w:rPr>
                <w:rFonts w:ascii="仿宋" w:eastAsia="仿宋" w:hAnsi="仿宋"/>
                <w:sz w:val="18"/>
                <w:szCs w:val="18"/>
              </w:rPr>
              <w:t>Inc</w:t>
            </w:r>
            <w:proofErr w:type="spellEnd"/>
            <w:r w:rsidRPr="00C76CA4">
              <w:rPr>
                <w:rFonts w:ascii="仿宋" w:eastAsia="仿宋" w:hAnsi="仿宋" w:hint="eastAsia"/>
                <w:sz w:val="18"/>
                <w:szCs w:val="18"/>
              </w:rPr>
              <w:t>等，积累了丰富的制剂研发和制剂技术产业化经验，熟悉多种现代制剂技术与工艺，曾领导、参与多个</w:t>
            </w:r>
            <w:r w:rsidR="00A00615" w:rsidRPr="00C76CA4">
              <w:rPr>
                <w:rFonts w:ascii="仿宋" w:eastAsia="仿宋" w:hAnsi="仿宋" w:hint="eastAsia"/>
                <w:sz w:val="18"/>
                <w:szCs w:val="18"/>
              </w:rPr>
              <w:t>缓控释制剂</w:t>
            </w:r>
            <w:r w:rsidRPr="00C76CA4">
              <w:rPr>
                <w:rFonts w:ascii="仿宋" w:eastAsia="仿宋" w:hAnsi="仿宋" w:hint="eastAsia"/>
                <w:sz w:val="18"/>
                <w:szCs w:val="18"/>
              </w:rPr>
              <w:t>上市产品及临床产品的开发和产业化工作，</w:t>
            </w:r>
            <w:r w:rsidR="00A00615" w:rsidRPr="00C76CA4">
              <w:rPr>
                <w:rFonts w:ascii="仿宋" w:eastAsia="仿宋" w:hAnsi="仿宋" w:hint="eastAsia"/>
                <w:sz w:val="18"/>
                <w:szCs w:val="18"/>
              </w:rPr>
              <w:t>在</w:t>
            </w:r>
            <w:r w:rsidRPr="00C76CA4">
              <w:rPr>
                <w:rFonts w:ascii="仿宋" w:eastAsia="仿宋" w:hAnsi="仿宋" w:hint="eastAsia"/>
                <w:sz w:val="18"/>
                <w:szCs w:val="18"/>
              </w:rPr>
              <w:t>固体药物制剂产业化经验包括：直压</w:t>
            </w:r>
            <w:proofErr w:type="gramStart"/>
            <w:r w:rsidRPr="00C76CA4">
              <w:rPr>
                <w:rFonts w:ascii="仿宋" w:eastAsia="仿宋" w:hAnsi="仿宋" w:hint="eastAsia"/>
                <w:sz w:val="18"/>
                <w:szCs w:val="18"/>
              </w:rPr>
              <w:t>工艺总混批次</w:t>
            </w:r>
            <w:proofErr w:type="gramEnd"/>
            <w:r w:rsidRPr="00C76CA4">
              <w:rPr>
                <w:rFonts w:ascii="仿宋" w:eastAsia="仿宋" w:hAnsi="仿宋" w:hint="eastAsia"/>
                <w:sz w:val="18"/>
                <w:szCs w:val="18"/>
              </w:rPr>
              <w:t>量</w:t>
            </w:r>
            <w:r w:rsidRPr="00C76CA4">
              <w:rPr>
                <w:rFonts w:ascii="仿宋" w:eastAsia="仿宋" w:hAnsi="仿宋"/>
                <w:sz w:val="18"/>
                <w:szCs w:val="18"/>
              </w:rPr>
              <w:t>100</w:t>
            </w:r>
            <w:r w:rsidRPr="00C76CA4">
              <w:rPr>
                <w:rFonts w:ascii="仿宋" w:eastAsia="仿宋" w:hAnsi="仿宋" w:hint="eastAsia"/>
                <w:sz w:val="18"/>
                <w:szCs w:val="18"/>
              </w:rPr>
              <w:t>公斤</w:t>
            </w:r>
            <w:r w:rsidR="006838A3" w:rsidRPr="00C76CA4">
              <w:rPr>
                <w:rFonts w:ascii="仿宋" w:eastAsia="仿宋" w:hAnsi="仿宋" w:hint="eastAsia"/>
                <w:sz w:val="18"/>
                <w:szCs w:val="18"/>
              </w:rPr>
              <w:t>、</w:t>
            </w:r>
            <w:r w:rsidRPr="00C76CA4">
              <w:rPr>
                <w:rFonts w:ascii="仿宋" w:eastAsia="仿宋" w:hAnsi="仿宋" w:hint="eastAsia"/>
                <w:sz w:val="18"/>
                <w:szCs w:val="18"/>
              </w:rPr>
              <w:t>干法制粒批次量</w:t>
            </w:r>
            <w:r w:rsidRPr="00C76CA4">
              <w:rPr>
                <w:rFonts w:ascii="仿宋" w:eastAsia="仿宋" w:hAnsi="仿宋"/>
                <w:sz w:val="18"/>
                <w:szCs w:val="18"/>
              </w:rPr>
              <w:t>100</w:t>
            </w:r>
            <w:r w:rsidRPr="00C76CA4">
              <w:rPr>
                <w:rFonts w:ascii="仿宋" w:eastAsia="仿宋" w:hAnsi="仿宋" w:hint="eastAsia"/>
                <w:sz w:val="18"/>
                <w:szCs w:val="18"/>
              </w:rPr>
              <w:t>公斤</w:t>
            </w:r>
            <w:r w:rsidR="006838A3" w:rsidRPr="00C76CA4">
              <w:rPr>
                <w:rFonts w:ascii="仿宋" w:eastAsia="仿宋" w:hAnsi="仿宋" w:hint="eastAsia"/>
                <w:sz w:val="18"/>
                <w:szCs w:val="18"/>
              </w:rPr>
              <w:t>、</w:t>
            </w:r>
            <w:proofErr w:type="gramStart"/>
            <w:r w:rsidRPr="00C76CA4">
              <w:rPr>
                <w:rFonts w:ascii="仿宋" w:eastAsia="仿宋" w:hAnsi="仿宋" w:hint="eastAsia"/>
                <w:sz w:val="18"/>
                <w:szCs w:val="18"/>
              </w:rPr>
              <w:t>总混</w:t>
            </w:r>
            <w:r w:rsidRPr="00C76CA4">
              <w:rPr>
                <w:rFonts w:ascii="仿宋" w:eastAsia="仿宋" w:hAnsi="仿宋"/>
                <w:sz w:val="18"/>
                <w:szCs w:val="18"/>
              </w:rPr>
              <w:t>150</w:t>
            </w:r>
            <w:r w:rsidRPr="00C76CA4">
              <w:rPr>
                <w:rFonts w:ascii="仿宋" w:eastAsia="仿宋" w:hAnsi="仿宋" w:hint="eastAsia"/>
                <w:sz w:val="18"/>
                <w:szCs w:val="18"/>
              </w:rPr>
              <w:t>公斤</w:t>
            </w:r>
            <w:proofErr w:type="gramEnd"/>
            <w:r w:rsidR="006838A3" w:rsidRPr="00C76CA4">
              <w:rPr>
                <w:rFonts w:ascii="仿宋" w:eastAsia="仿宋" w:hAnsi="仿宋" w:hint="eastAsia"/>
                <w:sz w:val="18"/>
                <w:szCs w:val="18"/>
              </w:rPr>
              <w:t>、</w:t>
            </w:r>
            <w:r w:rsidRPr="00C76CA4">
              <w:rPr>
                <w:rFonts w:ascii="仿宋" w:eastAsia="仿宋" w:hAnsi="仿宋" w:hint="eastAsia"/>
                <w:sz w:val="18"/>
                <w:szCs w:val="18"/>
              </w:rPr>
              <w:t>湿法制粒工艺，制粒批次量</w:t>
            </w:r>
            <w:proofErr w:type="gramStart"/>
            <w:r w:rsidRPr="00C76CA4">
              <w:rPr>
                <w:rFonts w:ascii="仿宋" w:eastAsia="仿宋" w:hAnsi="仿宋"/>
                <w:sz w:val="18"/>
                <w:szCs w:val="18"/>
              </w:rPr>
              <w:t>600</w:t>
            </w:r>
            <w:r w:rsidR="006838A3" w:rsidRPr="00C76CA4">
              <w:rPr>
                <w:rFonts w:ascii="仿宋" w:eastAsia="仿宋" w:hAnsi="仿宋" w:hint="eastAsia"/>
                <w:sz w:val="18"/>
                <w:szCs w:val="18"/>
              </w:rPr>
              <w:t>公斤</w:t>
            </w:r>
            <w:r w:rsidRPr="00C76CA4">
              <w:rPr>
                <w:rFonts w:ascii="仿宋" w:eastAsia="仿宋" w:hAnsi="仿宋" w:hint="eastAsia"/>
                <w:sz w:val="18"/>
                <w:szCs w:val="18"/>
              </w:rPr>
              <w:t>总混</w:t>
            </w:r>
            <w:r w:rsidRPr="00C76CA4">
              <w:rPr>
                <w:rFonts w:ascii="仿宋" w:eastAsia="仿宋" w:hAnsi="仿宋"/>
                <w:sz w:val="18"/>
                <w:szCs w:val="18"/>
              </w:rPr>
              <w:t>900</w:t>
            </w:r>
            <w:r w:rsidRPr="00C76CA4">
              <w:rPr>
                <w:rFonts w:ascii="仿宋" w:eastAsia="仿宋" w:hAnsi="仿宋" w:hint="eastAsia"/>
                <w:sz w:val="18"/>
                <w:szCs w:val="18"/>
              </w:rPr>
              <w:t>公斤</w:t>
            </w:r>
            <w:proofErr w:type="gramEnd"/>
            <w:r w:rsidR="006838A3" w:rsidRPr="00C76CA4">
              <w:rPr>
                <w:rFonts w:ascii="仿宋" w:eastAsia="仿宋" w:hAnsi="仿宋" w:hint="eastAsia"/>
                <w:sz w:val="18"/>
                <w:szCs w:val="18"/>
              </w:rPr>
              <w:t>等</w:t>
            </w:r>
            <w:r w:rsidRPr="00C76CA4">
              <w:rPr>
                <w:rFonts w:ascii="仿宋" w:eastAsia="仿宋" w:hAnsi="仿宋" w:hint="eastAsia"/>
                <w:sz w:val="18"/>
                <w:szCs w:val="18"/>
              </w:rPr>
              <w:t>。刘博士</w:t>
            </w:r>
            <w:r w:rsidRPr="00C76CA4">
              <w:rPr>
                <w:rFonts w:ascii="仿宋" w:eastAsia="仿宋" w:hAnsi="仿宋"/>
                <w:sz w:val="18"/>
                <w:szCs w:val="18"/>
              </w:rPr>
              <w:t>2011</w:t>
            </w:r>
            <w:r w:rsidR="00A00615" w:rsidRPr="00C76CA4">
              <w:rPr>
                <w:rFonts w:ascii="仿宋" w:eastAsia="仿宋" w:hAnsi="仿宋" w:hint="eastAsia"/>
                <w:sz w:val="18"/>
                <w:szCs w:val="18"/>
              </w:rPr>
              <w:t>年回国创办广州帝奇医药技术有限公司，任董事长兼总经理，专注于多种制剂处方和工艺开发及产业化、国内外产品申报等</w:t>
            </w:r>
            <w:r w:rsidRPr="00C76CA4">
              <w:rPr>
                <w:rFonts w:ascii="仿宋" w:eastAsia="仿宋" w:hAnsi="仿宋" w:hint="eastAsia"/>
                <w:sz w:val="18"/>
                <w:szCs w:val="18"/>
              </w:rPr>
              <w:t>技术咨询</w:t>
            </w:r>
            <w:r w:rsidR="00A00615" w:rsidRPr="00C76CA4">
              <w:rPr>
                <w:rFonts w:ascii="仿宋" w:eastAsia="仿宋" w:hAnsi="仿宋" w:hint="eastAsia"/>
                <w:sz w:val="18"/>
                <w:szCs w:val="18"/>
              </w:rPr>
              <w:t>和服务</w:t>
            </w:r>
            <w:r w:rsidRPr="00C76CA4">
              <w:rPr>
                <w:rFonts w:ascii="仿宋" w:eastAsia="仿宋" w:hAnsi="仿宋" w:hint="eastAsia"/>
                <w:sz w:val="18"/>
                <w:szCs w:val="18"/>
              </w:rPr>
              <w:t>。</w:t>
            </w:r>
          </w:p>
        </w:tc>
      </w:tr>
      <w:tr w:rsidR="000B70AD" w:rsidRPr="00C76CA4" w:rsidTr="00C76CA4">
        <w:trPr>
          <w:trHeight w:val="129"/>
        </w:trPr>
        <w:tc>
          <w:tcPr>
            <w:tcW w:w="1242" w:type="dxa"/>
            <w:shd w:val="clear" w:color="auto" w:fill="F2DBDB" w:themeFill="accent2" w:themeFillTint="33"/>
          </w:tcPr>
          <w:p w:rsidR="000B70AD" w:rsidRPr="00C76CA4" w:rsidRDefault="00DE08DC" w:rsidP="00C76CA4">
            <w:pPr>
              <w:widowControl/>
              <w:jc w:val="left"/>
              <w:rPr>
                <w:rFonts w:ascii="幼圆" w:eastAsia="幼圆"/>
                <w:sz w:val="18"/>
                <w:szCs w:val="18"/>
              </w:rPr>
            </w:pPr>
            <w:r>
              <w:rPr>
                <w:rFonts w:ascii="幼圆" w:eastAsia="幼圆" w:hint="eastAsia"/>
                <w:sz w:val="18"/>
                <w:szCs w:val="18"/>
              </w:rPr>
              <w:t>10:0</w:t>
            </w:r>
            <w:r w:rsidR="00291353" w:rsidRPr="00C76CA4">
              <w:rPr>
                <w:rFonts w:ascii="幼圆" w:eastAsia="幼圆" w:hint="eastAsia"/>
                <w:sz w:val="18"/>
                <w:szCs w:val="18"/>
              </w:rPr>
              <w:t>0-10:</w:t>
            </w:r>
            <w:r>
              <w:rPr>
                <w:rFonts w:ascii="幼圆" w:eastAsia="幼圆" w:hint="eastAsia"/>
                <w:sz w:val="18"/>
                <w:szCs w:val="18"/>
              </w:rPr>
              <w:t>55</w:t>
            </w:r>
          </w:p>
        </w:tc>
        <w:tc>
          <w:tcPr>
            <w:tcW w:w="2835" w:type="dxa"/>
            <w:gridSpan w:val="2"/>
            <w:shd w:val="clear" w:color="auto" w:fill="F2DBDB" w:themeFill="accent2" w:themeFillTint="33"/>
          </w:tcPr>
          <w:p w:rsidR="000B70AD" w:rsidRPr="00C76CA4" w:rsidRDefault="000B70AD" w:rsidP="00C76CA4">
            <w:pPr>
              <w:widowControl/>
              <w:jc w:val="left"/>
              <w:rPr>
                <w:rFonts w:ascii="幼圆" w:eastAsia="幼圆"/>
                <w:sz w:val="18"/>
                <w:szCs w:val="18"/>
              </w:rPr>
            </w:pPr>
            <w:r w:rsidRPr="00C76CA4">
              <w:rPr>
                <w:rFonts w:ascii="幼圆" w:eastAsia="幼圆" w:hint="eastAsia"/>
                <w:sz w:val="18"/>
                <w:szCs w:val="18"/>
              </w:rPr>
              <w:t>田芳</w:t>
            </w:r>
            <w:r w:rsidR="00234291" w:rsidRPr="00C76CA4">
              <w:rPr>
                <w:rFonts w:ascii="幼圆" w:eastAsia="幼圆" w:hint="eastAsia"/>
                <w:sz w:val="18"/>
                <w:szCs w:val="18"/>
              </w:rPr>
              <w:t>博士</w:t>
            </w:r>
            <w:r w:rsidRPr="00C76CA4">
              <w:rPr>
                <w:rFonts w:ascii="幼圆" w:eastAsia="幼圆" w:hint="eastAsia"/>
                <w:sz w:val="18"/>
                <w:szCs w:val="18"/>
              </w:rPr>
              <w:t>（深圳</w:t>
            </w:r>
            <w:r w:rsidR="00C76CA4" w:rsidRPr="00C76CA4">
              <w:rPr>
                <w:rFonts w:ascii="幼圆" w:eastAsia="幼圆" w:hint="eastAsia"/>
                <w:sz w:val="18"/>
                <w:szCs w:val="18"/>
              </w:rPr>
              <w:t>新</w:t>
            </w:r>
            <w:proofErr w:type="gramStart"/>
            <w:r w:rsidR="00C76CA4" w:rsidRPr="00C76CA4">
              <w:rPr>
                <w:rFonts w:ascii="幼圆" w:eastAsia="幼圆" w:hint="eastAsia"/>
                <w:sz w:val="18"/>
                <w:szCs w:val="18"/>
              </w:rPr>
              <w:t>阳唯康</w:t>
            </w:r>
            <w:proofErr w:type="gramEnd"/>
            <w:r w:rsidRPr="00C76CA4">
              <w:rPr>
                <w:rFonts w:ascii="幼圆" w:eastAsia="幼圆" w:hint="eastAsia"/>
                <w:sz w:val="18"/>
                <w:szCs w:val="18"/>
              </w:rPr>
              <w:t>）</w:t>
            </w:r>
          </w:p>
        </w:tc>
        <w:tc>
          <w:tcPr>
            <w:tcW w:w="6605" w:type="dxa"/>
            <w:gridSpan w:val="2"/>
            <w:shd w:val="clear" w:color="auto" w:fill="F2DBDB" w:themeFill="accent2" w:themeFillTint="33"/>
          </w:tcPr>
          <w:p w:rsidR="000B70AD" w:rsidRPr="00C76CA4" w:rsidRDefault="00FF2571" w:rsidP="00C76CA4">
            <w:pPr>
              <w:widowControl/>
              <w:jc w:val="left"/>
              <w:rPr>
                <w:rFonts w:ascii="幼圆" w:eastAsia="幼圆"/>
                <w:sz w:val="18"/>
                <w:szCs w:val="18"/>
              </w:rPr>
            </w:pPr>
            <w:r w:rsidRPr="00C76CA4">
              <w:rPr>
                <w:rFonts w:ascii="幼圆" w:eastAsia="幼圆" w:hint="eastAsia"/>
                <w:sz w:val="18"/>
                <w:szCs w:val="18"/>
              </w:rPr>
              <w:t>技术</w:t>
            </w:r>
            <w:r w:rsidRPr="00C76CA4">
              <w:rPr>
                <w:rFonts w:ascii="幼圆" w:eastAsia="幼圆"/>
                <w:sz w:val="18"/>
                <w:szCs w:val="18"/>
              </w:rPr>
              <w:t>转移中的固态分析</w:t>
            </w:r>
          </w:p>
        </w:tc>
      </w:tr>
      <w:tr w:rsidR="000B70AD" w:rsidRPr="00C76CA4" w:rsidTr="00C76CA4">
        <w:trPr>
          <w:trHeight w:val="173"/>
        </w:trPr>
        <w:tc>
          <w:tcPr>
            <w:tcW w:w="1242" w:type="dxa"/>
          </w:tcPr>
          <w:p w:rsidR="00291353" w:rsidRPr="003F6B55" w:rsidRDefault="00291353" w:rsidP="00C76CA4">
            <w:pPr>
              <w:widowControl/>
              <w:jc w:val="left"/>
              <w:rPr>
                <w:rFonts w:ascii="宋体" w:eastAsia="宋体" w:hAnsi="宋体"/>
                <w:sz w:val="15"/>
                <w:szCs w:val="18"/>
              </w:rPr>
            </w:pPr>
          </w:p>
          <w:p w:rsidR="00291353" w:rsidRPr="003F6B55" w:rsidRDefault="003F77B1" w:rsidP="00C76CA4">
            <w:pPr>
              <w:widowControl/>
              <w:jc w:val="left"/>
              <w:rPr>
                <w:rFonts w:ascii="宋体" w:eastAsia="宋体" w:hAnsi="宋体"/>
                <w:sz w:val="15"/>
                <w:szCs w:val="18"/>
              </w:rPr>
            </w:pPr>
            <w:r w:rsidRPr="003F6B55">
              <w:rPr>
                <w:rFonts w:ascii="宋体" w:eastAsia="宋体" w:hAnsi="宋体" w:hint="eastAsia"/>
                <w:sz w:val="15"/>
                <w:szCs w:val="18"/>
              </w:rPr>
              <w:t>4</w:t>
            </w:r>
            <w:r w:rsidR="00291353" w:rsidRPr="003F6B55">
              <w:rPr>
                <w:rFonts w:ascii="宋体" w:eastAsia="宋体" w:hAnsi="宋体" w:hint="eastAsia"/>
                <w:sz w:val="15"/>
                <w:szCs w:val="18"/>
              </w:rPr>
              <w:t>5min报告</w:t>
            </w:r>
          </w:p>
          <w:p w:rsidR="000B70AD" w:rsidRPr="003F6B55" w:rsidRDefault="00DE08DC" w:rsidP="00DE08DC">
            <w:pPr>
              <w:widowControl/>
              <w:jc w:val="left"/>
              <w:rPr>
                <w:rFonts w:ascii="宋体" w:eastAsia="宋体" w:hAnsi="宋体"/>
                <w:sz w:val="15"/>
                <w:szCs w:val="18"/>
              </w:rPr>
            </w:pPr>
            <w:r>
              <w:rPr>
                <w:rFonts w:ascii="宋体" w:eastAsia="宋体" w:hAnsi="宋体" w:hint="eastAsia"/>
                <w:sz w:val="15"/>
                <w:szCs w:val="18"/>
              </w:rPr>
              <w:t>10</w:t>
            </w:r>
            <w:r w:rsidR="00291353" w:rsidRPr="003F6B55">
              <w:rPr>
                <w:rFonts w:ascii="宋体" w:eastAsia="宋体" w:hAnsi="宋体" w:hint="eastAsia"/>
                <w:sz w:val="15"/>
                <w:szCs w:val="18"/>
              </w:rPr>
              <w:t>min讨论</w:t>
            </w:r>
          </w:p>
        </w:tc>
        <w:tc>
          <w:tcPr>
            <w:tcW w:w="9440" w:type="dxa"/>
            <w:gridSpan w:val="4"/>
          </w:tcPr>
          <w:p w:rsidR="000B70AD" w:rsidRPr="00C76CA4" w:rsidRDefault="00036B2C" w:rsidP="00C76CA4">
            <w:pPr>
              <w:widowControl/>
              <w:spacing w:line="240" w:lineRule="exact"/>
              <w:jc w:val="left"/>
              <w:rPr>
                <w:rFonts w:ascii="仿宋" w:eastAsia="仿宋" w:hAnsi="仿宋"/>
                <w:sz w:val="18"/>
                <w:szCs w:val="18"/>
              </w:rPr>
            </w:pPr>
            <w:r w:rsidRPr="00C76CA4">
              <w:rPr>
                <w:rFonts w:ascii="仿宋" w:eastAsia="仿宋" w:hAnsi="仿宋" w:hint="eastAsia"/>
                <w:sz w:val="18"/>
                <w:szCs w:val="18"/>
              </w:rPr>
              <w:t>田芳女士</w:t>
            </w:r>
            <w:r w:rsidR="000B70AD" w:rsidRPr="00C76CA4">
              <w:rPr>
                <w:rFonts w:ascii="仿宋" w:eastAsia="仿宋" w:hAnsi="仿宋" w:hint="eastAsia"/>
                <w:sz w:val="18"/>
                <w:szCs w:val="18"/>
              </w:rPr>
              <w:t>毕业于新西兰奥塔哥大学获得药学博士学位其后在</w:t>
            </w:r>
            <w:r w:rsidRPr="00C76CA4">
              <w:rPr>
                <w:rFonts w:ascii="仿宋" w:eastAsia="仿宋" w:hAnsi="仿宋" w:hint="eastAsia"/>
                <w:sz w:val="18"/>
                <w:szCs w:val="18"/>
              </w:rPr>
              <w:t>丹麦歌本哈根大学</w:t>
            </w:r>
            <w:r w:rsidR="000B70AD" w:rsidRPr="00C76CA4">
              <w:rPr>
                <w:rFonts w:ascii="仿宋" w:eastAsia="仿宋" w:hAnsi="仿宋" w:hint="eastAsia"/>
                <w:sz w:val="18"/>
                <w:szCs w:val="18"/>
              </w:rPr>
              <w:t>药学</w:t>
            </w:r>
            <w:r w:rsidR="00291353" w:rsidRPr="00C76CA4">
              <w:rPr>
                <w:rFonts w:ascii="仿宋" w:eastAsia="仿宋" w:hAnsi="仿宋" w:hint="eastAsia"/>
                <w:sz w:val="18"/>
                <w:szCs w:val="18"/>
              </w:rPr>
              <w:t>做</w:t>
            </w:r>
            <w:r w:rsidR="000B70AD" w:rsidRPr="00C76CA4">
              <w:rPr>
                <w:rFonts w:ascii="仿宋" w:eastAsia="仿宋" w:hAnsi="仿宋" w:hint="eastAsia"/>
                <w:sz w:val="18"/>
                <w:szCs w:val="18"/>
              </w:rPr>
              <w:t>博士后</w:t>
            </w:r>
            <w:r w:rsidRPr="00C76CA4">
              <w:rPr>
                <w:rFonts w:ascii="仿宋" w:eastAsia="仿宋" w:hAnsi="仿宋" w:hint="eastAsia"/>
                <w:sz w:val="18"/>
                <w:szCs w:val="18"/>
              </w:rPr>
              <w:t>，并</w:t>
            </w:r>
            <w:r w:rsidR="000B70AD" w:rsidRPr="00C76CA4">
              <w:rPr>
                <w:rFonts w:ascii="仿宋" w:eastAsia="仿宋" w:hAnsi="仿宋" w:hint="eastAsia"/>
                <w:sz w:val="18"/>
                <w:szCs w:val="18"/>
              </w:rPr>
              <w:t>曾作为芬兰赫尔辛基大学和芬兰</w:t>
            </w:r>
            <w:proofErr w:type="spellStart"/>
            <w:r w:rsidR="000B70AD" w:rsidRPr="00C76CA4">
              <w:rPr>
                <w:rFonts w:ascii="仿宋" w:eastAsia="仿宋" w:hAnsi="仿宋" w:hint="eastAsia"/>
                <w:sz w:val="18"/>
                <w:szCs w:val="18"/>
              </w:rPr>
              <w:t>Lappenrenta</w:t>
            </w:r>
            <w:proofErr w:type="spellEnd"/>
            <w:r w:rsidR="00291353" w:rsidRPr="00C76CA4">
              <w:rPr>
                <w:rFonts w:ascii="仿宋" w:eastAsia="仿宋" w:hAnsi="仿宋" w:hint="eastAsia"/>
                <w:sz w:val="18"/>
                <w:szCs w:val="18"/>
              </w:rPr>
              <w:t>理工大学</w:t>
            </w:r>
            <w:r w:rsidR="000B70AD" w:rsidRPr="00C76CA4">
              <w:rPr>
                <w:rFonts w:ascii="仿宋" w:eastAsia="仿宋" w:hAnsi="仿宋" w:hint="eastAsia"/>
                <w:sz w:val="18"/>
                <w:szCs w:val="18"/>
              </w:rPr>
              <w:t>特邀访问学者</w:t>
            </w:r>
            <w:r w:rsidR="006838A3" w:rsidRPr="00C76CA4">
              <w:rPr>
                <w:rFonts w:ascii="仿宋" w:eastAsia="仿宋" w:hAnsi="仿宋" w:hint="eastAsia"/>
                <w:sz w:val="18"/>
                <w:szCs w:val="18"/>
              </w:rPr>
              <w:t>和</w:t>
            </w:r>
            <w:r w:rsidR="00291353" w:rsidRPr="00C76CA4">
              <w:rPr>
                <w:rFonts w:ascii="仿宋" w:eastAsia="仿宋" w:hAnsi="仿宋" w:hint="eastAsia"/>
                <w:sz w:val="18"/>
                <w:szCs w:val="18"/>
              </w:rPr>
              <w:t>西兰奥克兰大学化学系</w:t>
            </w:r>
            <w:r w:rsidR="000B70AD" w:rsidRPr="00C76CA4">
              <w:rPr>
                <w:rFonts w:ascii="仿宋" w:eastAsia="仿宋" w:hAnsi="仿宋" w:hint="eastAsia"/>
                <w:sz w:val="18"/>
                <w:szCs w:val="18"/>
              </w:rPr>
              <w:t>名誉研究员</w:t>
            </w:r>
            <w:r w:rsidR="006838A3" w:rsidRPr="00C76CA4">
              <w:rPr>
                <w:rFonts w:ascii="仿宋" w:eastAsia="仿宋" w:hAnsi="仿宋" w:hint="eastAsia"/>
                <w:sz w:val="18"/>
                <w:szCs w:val="18"/>
              </w:rPr>
              <w:t>；田博士曾担任新西兰</w:t>
            </w:r>
            <w:proofErr w:type="spellStart"/>
            <w:r w:rsidR="000B70AD" w:rsidRPr="00C76CA4">
              <w:rPr>
                <w:rFonts w:ascii="仿宋" w:eastAsia="仿宋" w:hAnsi="仿宋" w:hint="eastAsia"/>
                <w:sz w:val="18"/>
                <w:szCs w:val="18"/>
              </w:rPr>
              <w:t>Argenta</w:t>
            </w:r>
            <w:proofErr w:type="spellEnd"/>
            <w:r w:rsidR="006838A3" w:rsidRPr="00C76CA4">
              <w:rPr>
                <w:rFonts w:ascii="仿宋" w:eastAsia="仿宋" w:hAnsi="仿宋" w:hint="eastAsia"/>
                <w:sz w:val="18"/>
                <w:szCs w:val="18"/>
              </w:rPr>
              <w:t>药业有限公司新产品首席研发科学家、丹麦诺和</w:t>
            </w:r>
            <w:proofErr w:type="gramStart"/>
            <w:r w:rsidR="006838A3" w:rsidRPr="00C76CA4">
              <w:rPr>
                <w:rFonts w:ascii="仿宋" w:eastAsia="仿宋" w:hAnsi="仿宋" w:hint="eastAsia"/>
                <w:sz w:val="18"/>
                <w:szCs w:val="18"/>
              </w:rPr>
              <w:t>诺德</w:t>
            </w:r>
            <w:proofErr w:type="gramEnd"/>
            <w:r w:rsidR="006838A3" w:rsidRPr="00C76CA4">
              <w:rPr>
                <w:rFonts w:ascii="仿宋" w:eastAsia="仿宋" w:hAnsi="仿宋" w:hint="eastAsia"/>
                <w:sz w:val="18"/>
                <w:szCs w:val="18"/>
              </w:rPr>
              <w:t>总公司的拉曼技术顾问，并</w:t>
            </w:r>
            <w:r w:rsidR="000B70AD" w:rsidRPr="00C76CA4">
              <w:rPr>
                <w:rFonts w:ascii="仿宋" w:eastAsia="仿宋" w:hAnsi="仿宋" w:hint="eastAsia"/>
                <w:sz w:val="18"/>
                <w:szCs w:val="18"/>
              </w:rPr>
              <w:t>在新西兰创建了绿富森药业有限公司。</w:t>
            </w:r>
            <w:r w:rsidR="006838A3" w:rsidRPr="00C76CA4">
              <w:rPr>
                <w:rFonts w:ascii="仿宋" w:eastAsia="仿宋" w:hAnsi="仿宋" w:hint="eastAsia"/>
                <w:sz w:val="18"/>
                <w:szCs w:val="18"/>
              </w:rPr>
              <w:t>田博士</w:t>
            </w:r>
            <w:r w:rsidR="000B70AD" w:rsidRPr="00C76CA4">
              <w:rPr>
                <w:rFonts w:ascii="仿宋" w:eastAsia="仿宋" w:hAnsi="仿宋" w:hint="eastAsia"/>
                <w:sz w:val="18"/>
                <w:szCs w:val="18"/>
              </w:rPr>
              <w:t>2015年</w:t>
            </w:r>
            <w:r w:rsidR="006838A3" w:rsidRPr="00C76CA4">
              <w:rPr>
                <w:rFonts w:ascii="仿宋" w:eastAsia="仿宋" w:hAnsi="仿宋" w:hint="eastAsia"/>
                <w:sz w:val="18"/>
                <w:szCs w:val="18"/>
              </w:rPr>
              <w:t>回国</w:t>
            </w:r>
            <w:r w:rsidRPr="00C76CA4">
              <w:rPr>
                <w:rFonts w:ascii="仿宋" w:eastAsia="仿宋" w:hAnsi="仿宋" w:hint="eastAsia"/>
                <w:sz w:val="18"/>
                <w:szCs w:val="18"/>
              </w:rPr>
              <w:t>创立</w:t>
            </w:r>
            <w:r w:rsidR="006838A3" w:rsidRPr="00C76CA4">
              <w:rPr>
                <w:rFonts w:ascii="仿宋" w:eastAsia="仿宋" w:hAnsi="仿宋" w:hint="eastAsia"/>
                <w:sz w:val="18"/>
                <w:szCs w:val="18"/>
              </w:rPr>
              <w:t>了深圳市新</w:t>
            </w:r>
            <w:proofErr w:type="gramStart"/>
            <w:r w:rsidR="006838A3" w:rsidRPr="00C76CA4">
              <w:rPr>
                <w:rFonts w:ascii="仿宋" w:eastAsia="仿宋" w:hAnsi="仿宋" w:hint="eastAsia"/>
                <w:sz w:val="18"/>
                <w:szCs w:val="18"/>
              </w:rPr>
              <w:t>阳唯康</w:t>
            </w:r>
            <w:proofErr w:type="gramEnd"/>
            <w:r w:rsidR="006838A3" w:rsidRPr="00C76CA4">
              <w:rPr>
                <w:rFonts w:ascii="仿宋" w:eastAsia="仿宋" w:hAnsi="仿宋" w:hint="eastAsia"/>
                <w:sz w:val="18"/>
                <w:szCs w:val="18"/>
              </w:rPr>
              <w:t>科技有限公司，主要开展</w:t>
            </w:r>
            <w:r w:rsidR="00291353" w:rsidRPr="00C76CA4">
              <w:rPr>
                <w:rFonts w:ascii="仿宋" w:eastAsia="仿宋" w:hAnsi="仿宋" w:hint="eastAsia"/>
                <w:sz w:val="18"/>
                <w:szCs w:val="18"/>
              </w:rPr>
              <w:t>药物</w:t>
            </w:r>
            <w:r w:rsidR="000B70AD" w:rsidRPr="00C76CA4">
              <w:rPr>
                <w:rFonts w:ascii="仿宋" w:eastAsia="仿宋" w:hAnsi="仿宋" w:hint="eastAsia"/>
                <w:sz w:val="18"/>
                <w:szCs w:val="18"/>
              </w:rPr>
              <w:t>晶型开发与筛选、在线晶</w:t>
            </w:r>
            <w:proofErr w:type="gramStart"/>
            <w:r w:rsidR="000B70AD" w:rsidRPr="00C76CA4">
              <w:rPr>
                <w:rFonts w:ascii="仿宋" w:eastAsia="仿宋" w:hAnsi="仿宋" w:hint="eastAsia"/>
                <w:sz w:val="18"/>
                <w:szCs w:val="18"/>
              </w:rPr>
              <w:t>型质量</w:t>
            </w:r>
            <w:proofErr w:type="gramEnd"/>
            <w:r w:rsidR="000B70AD" w:rsidRPr="00C76CA4">
              <w:rPr>
                <w:rFonts w:ascii="仿宋" w:eastAsia="仿宋" w:hAnsi="仿宋" w:hint="eastAsia"/>
                <w:sz w:val="18"/>
                <w:szCs w:val="18"/>
              </w:rPr>
              <w:t>监测及相关的药物剂型优化，特别专注于拉曼技术在药物晶</w:t>
            </w:r>
            <w:proofErr w:type="gramStart"/>
            <w:r w:rsidR="000B70AD" w:rsidRPr="00C76CA4">
              <w:rPr>
                <w:rFonts w:ascii="仿宋" w:eastAsia="仿宋" w:hAnsi="仿宋" w:hint="eastAsia"/>
                <w:sz w:val="18"/>
                <w:szCs w:val="18"/>
              </w:rPr>
              <w:t>型分子</w:t>
            </w:r>
            <w:proofErr w:type="gramEnd"/>
            <w:r w:rsidR="000B70AD" w:rsidRPr="00C76CA4">
              <w:rPr>
                <w:rFonts w:ascii="仿宋" w:eastAsia="仿宋" w:hAnsi="仿宋" w:hint="eastAsia"/>
                <w:sz w:val="18"/>
                <w:szCs w:val="18"/>
              </w:rPr>
              <w:t>级别的结构研究与晶型药物生产质量监控上的应用。</w:t>
            </w:r>
          </w:p>
        </w:tc>
      </w:tr>
      <w:tr w:rsidR="003F77B1" w:rsidRPr="00C76CA4" w:rsidTr="00C76CA4">
        <w:trPr>
          <w:trHeight w:val="110"/>
        </w:trPr>
        <w:tc>
          <w:tcPr>
            <w:tcW w:w="1242" w:type="dxa"/>
            <w:shd w:val="clear" w:color="auto" w:fill="F2DBDB" w:themeFill="accent2" w:themeFillTint="33"/>
          </w:tcPr>
          <w:p w:rsidR="003F77B1" w:rsidRPr="00C76CA4" w:rsidRDefault="003F77B1" w:rsidP="00C76CA4">
            <w:pPr>
              <w:widowControl/>
              <w:jc w:val="left"/>
              <w:rPr>
                <w:rFonts w:ascii="Times New Roman" w:eastAsia="幼圆" w:hAnsi="Times New Roman" w:cs="Times New Roman"/>
                <w:sz w:val="18"/>
                <w:szCs w:val="18"/>
              </w:rPr>
            </w:pPr>
            <w:r w:rsidRPr="00C76CA4">
              <w:rPr>
                <w:rFonts w:ascii="Times New Roman" w:eastAsia="幼圆" w:hAnsi="Times New Roman" w:cs="Times New Roman"/>
                <w:sz w:val="18"/>
                <w:szCs w:val="18"/>
              </w:rPr>
              <w:t>11:00-11:5</w:t>
            </w:r>
            <w:r w:rsidR="00DE08DC">
              <w:rPr>
                <w:rFonts w:ascii="Times New Roman" w:eastAsia="幼圆" w:hAnsi="Times New Roman" w:cs="Times New Roman" w:hint="eastAsia"/>
                <w:sz w:val="18"/>
                <w:szCs w:val="18"/>
              </w:rPr>
              <w:t>5</w:t>
            </w:r>
          </w:p>
        </w:tc>
        <w:tc>
          <w:tcPr>
            <w:tcW w:w="2694" w:type="dxa"/>
            <w:shd w:val="clear" w:color="auto" w:fill="F2DBDB" w:themeFill="accent2" w:themeFillTint="33"/>
          </w:tcPr>
          <w:p w:rsidR="003F77B1" w:rsidRPr="00C76CA4" w:rsidRDefault="003F77B1" w:rsidP="00C76CA4">
            <w:pPr>
              <w:widowControl/>
              <w:jc w:val="left"/>
              <w:rPr>
                <w:rFonts w:ascii="Times New Roman" w:eastAsia="幼圆" w:hAnsi="Times New Roman" w:cs="Times New Roman"/>
                <w:sz w:val="18"/>
                <w:szCs w:val="18"/>
              </w:rPr>
            </w:pPr>
            <w:r w:rsidRPr="00C76CA4">
              <w:rPr>
                <w:rFonts w:ascii="Times New Roman" w:eastAsia="幼圆" w:hAnsi="Times New Roman" w:cs="Times New Roman"/>
                <w:sz w:val="18"/>
                <w:szCs w:val="18"/>
              </w:rPr>
              <w:t xml:space="preserve">Ralf </w:t>
            </w:r>
            <w:proofErr w:type="spellStart"/>
            <w:r w:rsidRPr="00C76CA4">
              <w:rPr>
                <w:rFonts w:ascii="Times New Roman" w:eastAsia="幼圆" w:hAnsi="Times New Roman" w:cs="Times New Roman"/>
                <w:sz w:val="18"/>
                <w:szCs w:val="18"/>
              </w:rPr>
              <w:t>Gengenbach</w:t>
            </w:r>
            <w:proofErr w:type="spellEnd"/>
            <w:r w:rsidRPr="00C76CA4">
              <w:rPr>
                <w:rFonts w:ascii="Times New Roman" w:eastAsia="幼圆" w:hAnsi="Times New Roman" w:cs="Times New Roman"/>
                <w:sz w:val="18"/>
                <w:szCs w:val="18"/>
              </w:rPr>
              <w:t>先生</w:t>
            </w:r>
          </w:p>
          <w:p w:rsidR="003F77B1" w:rsidRPr="00C76CA4" w:rsidRDefault="003F77B1" w:rsidP="00C76CA4">
            <w:pPr>
              <w:widowControl/>
              <w:jc w:val="left"/>
              <w:rPr>
                <w:rFonts w:ascii="Times New Roman" w:eastAsia="幼圆" w:hAnsi="Times New Roman" w:cs="Times New Roman"/>
                <w:sz w:val="18"/>
                <w:szCs w:val="18"/>
              </w:rPr>
            </w:pPr>
            <w:r w:rsidRPr="00C76CA4">
              <w:rPr>
                <w:rFonts w:ascii="Times New Roman" w:eastAsia="幼圆" w:hAnsi="Times New Roman" w:cs="Times New Roman"/>
                <w:sz w:val="18"/>
                <w:szCs w:val="18"/>
              </w:rPr>
              <w:t>（德</w:t>
            </w:r>
            <w:proofErr w:type="spellStart"/>
            <w:r w:rsidRPr="00C76CA4">
              <w:rPr>
                <w:rFonts w:ascii="Times New Roman" w:eastAsia="幼圆" w:hAnsi="Times New Roman" w:cs="Times New Roman"/>
                <w:sz w:val="18"/>
                <w:szCs w:val="18"/>
              </w:rPr>
              <w:t>gempex</w:t>
            </w:r>
            <w:proofErr w:type="spellEnd"/>
            <w:r w:rsidRPr="00C76CA4">
              <w:rPr>
                <w:rFonts w:ascii="Times New Roman" w:eastAsia="幼圆" w:hAnsi="Times New Roman" w:cs="Times New Roman"/>
                <w:sz w:val="18"/>
                <w:szCs w:val="18"/>
              </w:rPr>
              <w:t>公司）</w:t>
            </w:r>
          </w:p>
        </w:tc>
        <w:tc>
          <w:tcPr>
            <w:tcW w:w="6746" w:type="dxa"/>
            <w:gridSpan w:val="3"/>
            <w:shd w:val="clear" w:color="auto" w:fill="F2DBDB" w:themeFill="accent2" w:themeFillTint="33"/>
          </w:tcPr>
          <w:p w:rsidR="003F77B1" w:rsidRPr="00C76CA4" w:rsidRDefault="003F77B1" w:rsidP="00C76CA4">
            <w:pPr>
              <w:widowControl/>
              <w:jc w:val="left"/>
              <w:rPr>
                <w:rFonts w:ascii="Times New Roman" w:eastAsia="幼圆" w:hAnsi="Times New Roman" w:cs="Times New Roman"/>
                <w:sz w:val="18"/>
                <w:szCs w:val="18"/>
              </w:rPr>
            </w:pPr>
            <w:r w:rsidRPr="00C76CA4">
              <w:rPr>
                <w:rFonts w:ascii="Times New Roman" w:eastAsia="幼圆" w:hAnsi="Times New Roman" w:cs="Times New Roman"/>
                <w:sz w:val="18"/>
                <w:szCs w:val="18"/>
              </w:rPr>
              <w:t>Process Validation: special requirements in case of process-transfer</w:t>
            </w:r>
          </w:p>
          <w:p w:rsidR="003F77B1" w:rsidRPr="00C76CA4" w:rsidRDefault="003F77B1" w:rsidP="00C76CA4">
            <w:pPr>
              <w:widowControl/>
              <w:jc w:val="left"/>
              <w:rPr>
                <w:rFonts w:ascii="Times New Roman" w:eastAsia="幼圆" w:hAnsi="Times New Roman" w:cs="Times New Roman"/>
                <w:sz w:val="18"/>
                <w:szCs w:val="18"/>
              </w:rPr>
            </w:pPr>
            <w:r w:rsidRPr="00C76CA4">
              <w:rPr>
                <w:rFonts w:ascii="Times New Roman" w:eastAsia="幼圆" w:hAnsi="Times New Roman" w:cs="Times New Roman"/>
                <w:sz w:val="18"/>
                <w:szCs w:val="18"/>
              </w:rPr>
              <w:t>技术转移过程的相关验证</w:t>
            </w:r>
            <w:r w:rsidRPr="00C76CA4">
              <w:rPr>
                <w:rFonts w:ascii="Times New Roman" w:eastAsia="幼圆" w:hAnsi="Times New Roman" w:cs="Times New Roman"/>
                <w:sz w:val="18"/>
                <w:szCs w:val="18"/>
              </w:rPr>
              <w:t>-</w:t>
            </w:r>
            <w:r w:rsidRPr="00C76CA4">
              <w:rPr>
                <w:rFonts w:ascii="Times New Roman" w:eastAsia="幼圆" w:hAnsi="Times New Roman" w:cs="Times New Roman"/>
                <w:sz w:val="18"/>
                <w:szCs w:val="18"/>
              </w:rPr>
              <w:t>工艺验证</w:t>
            </w:r>
          </w:p>
        </w:tc>
      </w:tr>
      <w:tr w:rsidR="003F77B1" w:rsidRPr="00C76CA4" w:rsidTr="00C76CA4">
        <w:trPr>
          <w:trHeight w:val="544"/>
        </w:trPr>
        <w:tc>
          <w:tcPr>
            <w:tcW w:w="1242" w:type="dxa"/>
          </w:tcPr>
          <w:p w:rsidR="003F77B1" w:rsidRPr="003F6B55" w:rsidRDefault="003F77B1" w:rsidP="00C76CA4">
            <w:pPr>
              <w:widowControl/>
              <w:jc w:val="left"/>
              <w:rPr>
                <w:rFonts w:ascii="宋体" w:eastAsia="宋体" w:hAnsi="宋体"/>
                <w:sz w:val="15"/>
                <w:szCs w:val="18"/>
              </w:rPr>
            </w:pPr>
            <w:r w:rsidRPr="003F6B55">
              <w:rPr>
                <w:rFonts w:ascii="宋体" w:eastAsia="宋体" w:hAnsi="宋体" w:hint="eastAsia"/>
                <w:sz w:val="15"/>
                <w:szCs w:val="18"/>
              </w:rPr>
              <w:t>45min报告</w:t>
            </w:r>
          </w:p>
          <w:p w:rsidR="003F77B1" w:rsidRPr="003F6B55" w:rsidRDefault="00DE08DC" w:rsidP="00C76CA4">
            <w:pPr>
              <w:widowControl/>
              <w:jc w:val="left"/>
              <w:rPr>
                <w:rFonts w:ascii="宋体" w:eastAsia="宋体" w:hAnsi="宋体"/>
                <w:sz w:val="15"/>
                <w:szCs w:val="18"/>
              </w:rPr>
            </w:pPr>
            <w:r>
              <w:rPr>
                <w:rFonts w:ascii="宋体" w:eastAsia="宋体" w:hAnsi="宋体" w:hint="eastAsia"/>
                <w:sz w:val="15"/>
                <w:szCs w:val="18"/>
              </w:rPr>
              <w:t>10</w:t>
            </w:r>
            <w:r w:rsidR="003F77B1" w:rsidRPr="003F6B55">
              <w:rPr>
                <w:rFonts w:ascii="宋体" w:eastAsia="宋体" w:hAnsi="宋体" w:hint="eastAsia"/>
                <w:sz w:val="15"/>
                <w:szCs w:val="18"/>
              </w:rPr>
              <w:t>min讨论</w:t>
            </w:r>
          </w:p>
        </w:tc>
        <w:tc>
          <w:tcPr>
            <w:tcW w:w="9440" w:type="dxa"/>
            <w:gridSpan w:val="4"/>
          </w:tcPr>
          <w:p w:rsidR="003F77B1" w:rsidRPr="00C76CA4" w:rsidRDefault="003F77B1" w:rsidP="00C76CA4">
            <w:pPr>
              <w:widowControl/>
              <w:spacing w:line="240" w:lineRule="exact"/>
              <w:jc w:val="left"/>
              <w:rPr>
                <w:rFonts w:ascii="仿宋" w:eastAsia="仿宋" w:hAnsi="仿宋"/>
                <w:sz w:val="18"/>
                <w:szCs w:val="18"/>
              </w:rPr>
            </w:pPr>
            <w:r w:rsidRPr="00C76CA4">
              <w:rPr>
                <w:rFonts w:ascii="仿宋" w:eastAsia="仿宋" w:hAnsi="仿宋" w:hint="eastAsia"/>
                <w:sz w:val="18"/>
                <w:szCs w:val="18"/>
              </w:rPr>
              <w:t xml:space="preserve">Ralf </w:t>
            </w:r>
            <w:proofErr w:type="spellStart"/>
            <w:r w:rsidRPr="00C76CA4">
              <w:rPr>
                <w:rFonts w:ascii="仿宋" w:eastAsia="仿宋" w:hAnsi="仿宋" w:hint="eastAsia"/>
                <w:sz w:val="18"/>
                <w:szCs w:val="18"/>
              </w:rPr>
              <w:t>Gengenbach</w:t>
            </w:r>
            <w:proofErr w:type="spellEnd"/>
            <w:r w:rsidRPr="00C76CA4">
              <w:rPr>
                <w:rFonts w:ascii="仿宋" w:eastAsia="仿宋" w:hAnsi="仿宋" w:hint="eastAsia"/>
                <w:sz w:val="18"/>
                <w:szCs w:val="18"/>
              </w:rPr>
              <w:t>先生（德国）曾获得化学工程专业学位，是生物技术和GMP专家，自1992年起从事GMP相关工作，曾参与ICH Q7等指导原则的起草，曾参与中国食品药品监督管理局海外检查员的培训，是ISPE、PDA、VIP3000制药协会等多个行业协会的会员，并在多个大学的担任客座讲师，发表过关于GMP和确认等论文。</w:t>
            </w:r>
          </w:p>
        </w:tc>
      </w:tr>
      <w:tr w:rsidR="00C76CA4" w:rsidRPr="00C76CA4" w:rsidTr="00DE08DC">
        <w:trPr>
          <w:trHeight w:val="536"/>
        </w:trPr>
        <w:tc>
          <w:tcPr>
            <w:tcW w:w="1242" w:type="dxa"/>
            <w:shd w:val="clear" w:color="auto" w:fill="EAF1DD" w:themeFill="accent3" w:themeFillTint="33"/>
          </w:tcPr>
          <w:p w:rsidR="00C76CA4" w:rsidRPr="00C76CA4" w:rsidRDefault="00C76CA4" w:rsidP="00C76CA4">
            <w:pPr>
              <w:widowControl/>
              <w:jc w:val="left"/>
              <w:rPr>
                <w:sz w:val="18"/>
                <w:szCs w:val="18"/>
              </w:rPr>
            </w:pPr>
            <w:r w:rsidRPr="00C76CA4">
              <w:rPr>
                <w:rFonts w:hint="eastAsia"/>
                <w:sz w:val="18"/>
                <w:szCs w:val="18"/>
              </w:rPr>
              <w:t>12:00</w:t>
            </w:r>
            <w:r w:rsidRPr="00C76CA4">
              <w:rPr>
                <w:sz w:val="18"/>
                <w:szCs w:val="18"/>
              </w:rPr>
              <w:t xml:space="preserve"> </w:t>
            </w:r>
            <w:r w:rsidRPr="00C76CA4">
              <w:rPr>
                <w:rFonts w:hint="eastAsia"/>
                <w:sz w:val="18"/>
                <w:szCs w:val="18"/>
              </w:rPr>
              <w:t>-13:00</w:t>
            </w:r>
          </w:p>
        </w:tc>
        <w:tc>
          <w:tcPr>
            <w:tcW w:w="9440" w:type="dxa"/>
            <w:gridSpan w:val="4"/>
            <w:shd w:val="clear" w:color="auto" w:fill="EAF1DD" w:themeFill="accent3" w:themeFillTint="33"/>
          </w:tcPr>
          <w:p w:rsidR="00C76CA4" w:rsidRPr="00C76CA4" w:rsidRDefault="00C76CA4" w:rsidP="00C76CA4">
            <w:pPr>
              <w:widowControl/>
              <w:jc w:val="left"/>
              <w:rPr>
                <w:sz w:val="18"/>
                <w:szCs w:val="18"/>
              </w:rPr>
            </w:pPr>
            <w:r w:rsidRPr="00C76CA4">
              <w:rPr>
                <w:rFonts w:ascii="幼圆" w:eastAsia="幼圆" w:hint="eastAsia"/>
                <w:b/>
                <w:szCs w:val="18"/>
              </w:rPr>
              <w:t>午餐</w:t>
            </w:r>
            <w:r w:rsidR="00A60D95">
              <w:rPr>
                <w:rFonts w:ascii="幼圆" w:eastAsia="幼圆" w:hint="eastAsia"/>
                <w:b/>
                <w:szCs w:val="18"/>
              </w:rPr>
              <w:t xml:space="preserve">                                                    </w:t>
            </w:r>
            <w:r w:rsidR="00A60D95" w:rsidRPr="0003083B">
              <w:rPr>
                <w:rFonts w:ascii="幼圆" w:eastAsia="幼圆" w:hint="eastAsia"/>
                <w:b/>
                <w:szCs w:val="18"/>
                <w:highlight w:val="yellow"/>
              </w:rPr>
              <w:t>地点：凯旋华美达酒店</w:t>
            </w:r>
          </w:p>
        </w:tc>
      </w:tr>
      <w:tr w:rsidR="00AA1889" w:rsidRPr="00C76CA4">
        <w:trPr>
          <w:trHeight w:val="48"/>
        </w:trPr>
        <w:tc>
          <w:tcPr>
            <w:tcW w:w="10682" w:type="dxa"/>
            <w:gridSpan w:val="5"/>
          </w:tcPr>
          <w:p w:rsidR="00AA1889" w:rsidRDefault="00AA1889" w:rsidP="009A6963">
            <w:pPr>
              <w:widowControl/>
              <w:spacing w:line="240" w:lineRule="exact"/>
              <w:jc w:val="left"/>
              <w:rPr>
                <w:rFonts w:ascii="仿宋" w:eastAsia="仿宋" w:hAnsi="仿宋"/>
                <w:sz w:val="18"/>
                <w:szCs w:val="18"/>
              </w:rPr>
            </w:pPr>
            <w:r w:rsidRPr="00C76CA4">
              <w:rPr>
                <w:rFonts w:ascii="幼圆" w:eastAsia="幼圆" w:hint="eastAsia"/>
                <w:b/>
                <w:szCs w:val="18"/>
              </w:rPr>
              <w:t>专题研讨：药品</w:t>
            </w:r>
            <w:r w:rsidRPr="00C76CA4">
              <w:rPr>
                <w:rFonts w:ascii="幼圆" w:eastAsia="幼圆"/>
                <w:b/>
                <w:szCs w:val="18"/>
              </w:rPr>
              <w:t>上市许可人制度</w:t>
            </w:r>
            <w:r w:rsidR="009A6963">
              <w:rPr>
                <w:rFonts w:ascii="幼圆" w:eastAsia="幼圆" w:hint="eastAsia"/>
                <w:b/>
                <w:szCs w:val="18"/>
              </w:rPr>
              <w:t xml:space="preserve">                                                 </w:t>
            </w:r>
            <w:r w:rsidR="009A6963" w:rsidRPr="00963700">
              <w:rPr>
                <w:rFonts w:ascii="仿宋" w:eastAsia="仿宋" w:hAnsi="仿宋" w:hint="eastAsia"/>
                <w:b/>
                <w:sz w:val="18"/>
                <w:szCs w:val="18"/>
              </w:rPr>
              <w:t>主持人：</w:t>
            </w:r>
            <w:r w:rsidR="009A6963" w:rsidRPr="009A6963">
              <w:rPr>
                <w:rFonts w:ascii="仿宋" w:eastAsia="仿宋" w:hAnsi="仿宋" w:hint="eastAsia"/>
                <w:sz w:val="18"/>
                <w:szCs w:val="18"/>
              </w:rPr>
              <w:t>王霆主任委员</w:t>
            </w:r>
          </w:p>
          <w:p w:rsidR="009A6963" w:rsidRPr="00C76CA4" w:rsidRDefault="009A6963" w:rsidP="009A6963">
            <w:pPr>
              <w:widowControl/>
              <w:spacing w:line="240" w:lineRule="exact"/>
              <w:jc w:val="left"/>
              <w:rPr>
                <w:rFonts w:ascii="幼圆" w:eastAsia="幼圆"/>
                <w:b/>
                <w:szCs w:val="18"/>
              </w:rPr>
            </w:pPr>
            <w:r>
              <w:rPr>
                <w:rFonts w:ascii="仿宋" w:eastAsia="仿宋" w:hAnsi="仿宋" w:hint="eastAsia"/>
                <w:sz w:val="18"/>
                <w:szCs w:val="18"/>
              </w:rPr>
              <w:t xml:space="preserve">                                                                                          广东省药学会制药工程专委会</w:t>
            </w:r>
          </w:p>
        </w:tc>
      </w:tr>
      <w:tr w:rsidR="00146765" w:rsidRPr="00C76CA4" w:rsidTr="00C76CA4">
        <w:trPr>
          <w:trHeight w:val="154"/>
        </w:trPr>
        <w:tc>
          <w:tcPr>
            <w:tcW w:w="1242" w:type="dxa"/>
            <w:shd w:val="clear" w:color="auto" w:fill="F2DBDB" w:themeFill="accent2" w:themeFillTint="33"/>
          </w:tcPr>
          <w:p w:rsidR="00146765" w:rsidRPr="00C76CA4" w:rsidRDefault="00DE08DC" w:rsidP="00DE08DC">
            <w:pPr>
              <w:widowControl/>
              <w:jc w:val="left"/>
              <w:rPr>
                <w:rFonts w:ascii="Times New Roman" w:eastAsia="幼圆" w:hAnsi="Times New Roman" w:cs="Times New Roman"/>
                <w:sz w:val="18"/>
                <w:szCs w:val="18"/>
              </w:rPr>
            </w:pPr>
            <w:r>
              <w:rPr>
                <w:rFonts w:ascii="Times New Roman" w:eastAsia="幼圆" w:hAnsi="Times New Roman" w:cs="Times New Roman" w:hint="eastAsia"/>
                <w:sz w:val="18"/>
                <w:szCs w:val="18"/>
              </w:rPr>
              <w:t>13</w:t>
            </w:r>
            <w:r w:rsidR="003F77B1" w:rsidRPr="00C76CA4">
              <w:rPr>
                <w:rFonts w:ascii="Times New Roman" w:eastAsia="幼圆" w:hAnsi="Times New Roman" w:cs="Times New Roman" w:hint="eastAsia"/>
                <w:sz w:val="18"/>
                <w:szCs w:val="18"/>
              </w:rPr>
              <w:t>:</w:t>
            </w:r>
            <w:r>
              <w:rPr>
                <w:rFonts w:ascii="Times New Roman" w:eastAsia="幼圆" w:hAnsi="Times New Roman" w:cs="Times New Roman" w:hint="eastAsia"/>
                <w:sz w:val="18"/>
                <w:szCs w:val="18"/>
              </w:rPr>
              <w:t>3</w:t>
            </w:r>
            <w:r w:rsidR="003F77B1" w:rsidRPr="00C76CA4">
              <w:rPr>
                <w:rFonts w:ascii="Times New Roman" w:eastAsia="幼圆" w:hAnsi="Times New Roman" w:cs="Times New Roman" w:hint="eastAsia"/>
                <w:sz w:val="18"/>
                <w:szCs w:val="18"/>
              </w:rPr>
              <w:t>0-1</w:t>
            </w:r>
            <w:r>
              <w:rPr>
                <w:rFonts w:ascii="Times New Roman" w:eastAsia="幼圆" w:hAnsi="Times New Roman" w:cs="Times New Roman" w:hint="eastAsia"/>
                <w:sz w:val="18"/>
                <w:szCs w:val="18"/>
              </w:rPr>
              <w:t>4</w:t>
            </w:r>
            <w:r w:rsidR="003F77B1" w:rsidRPr="00C76CA4">
              <w:rPr>
                <w:rFonts w:ascii="Times New Roman" w:eastAsia="幼圆" w:hAnsi="Times New Roman" w:cs="Times New Roman" w:hint="eastAsia"/>
                <w:sz w:val="18"/>
                <w:szCs w:val="18"/>
              </w:rPr>
              <w:t>:</w:t>
            </w:r>
            <w:r>
              <w:rPr>
                <w:rFonts w:ascii="Times New Roman" w:eastAsia="幼圆" w:hAnsi="Times New Roman" w:cs="Times New Roman" w:hint="eastAsia"/>
                <w:sz w:val="18"/>
                <w:szCs w:val="18"/>
              </w:rPr>
              <w:t>25</w:t>
            </w:r>
          </w:p>
        </w:tc>
        <w:tc>
          <w:tcPr>
            <w:tcW w:w="2977" w:type="dxa"/>
            <w:gridSpan w:val="3"/>
            <w:shd w:val="clear" w:color="auto" w:fill="F2DBDB" w:themeFill="accent2" w:themeFillTint="33"/>
          </w:tcPr>
          <w:p w:rsidR="00146765" w:rsidRPr="00C76CA4" w:rsidRDefault="00476459" w:rsidP="00C76CA4">
            <w:pPr>
              <w:widowControl/>
              <w:jc w:val="left"/>
              <w:rPr>
                <w:rFonts w:ascii="Times New Roman" w:eastAsia="幼圆" w:hAnsi="Times New Roman" w:cs="Times New Roman"/>
                <w:sz w:val="18"/>
                <w:szCs w:val="18"/>
              </w:rPr>
            </w:pPr>
            <w:r w:rsidRPr="00C76CA4">
              <w:rPr>
                <w:rFonts w:ascii="Times New Roman" w:eastAsia="幼圆" w:hAnsi="Times New Roman" w:cs="Times New Roman" w:hint="eastAsia"/>
                <w:sz w:val="18"/>
                <w:szCs w:val="18"/>
              </w:rPr>
              <w:t>陈永法教授（中国药科大学</w:t>
            </w:r>
            <w:r w:rsidR="006A4B55" w:rsidRPr="00C76CA4">
              <w:rPr>
                <w:rFonts w:ascii="Times New Roman" w:eastAsia="幼圆" w:hAnsi="Times New Roman" w:cs="Times New Roman" w:hint="eastAsia"/>
                <w:sz w:val="18"/>
                <w:szCs w:val="18"/>
              </w:rPr>
              <w:t>商学院</w:t>
            </w:r>
            <w:r w:rsidR="00146765" w:rsidRPr="00C76CA4">
              <w:rPr>
                <w:rFonts w:ascii="Times New Roman" w:eastAsia="幼圆" w:hAnsi="Times New Roman" w:cs="Times New Roman" w:hint="eastAsia"/>
                <w:sz w:val="18"/>
                <w:szCs w:val="18"/>
              </w:rPr>
              <w:t>）</w:t>
            </w:r>
          </w:p>
        </w:tc>
        <w:tc>
          <w:tcPr>
            <w:tcW w:w="6463" w:type="dxa"/>
            <w:shd w:val="clear" w:color="auto" w:fill="F2DBDB" w:themeFill="accent2" w:themeFillTint="33"/>
          </w:tcPr>
          <w:p w:rsidR="00146765" w:rsidRPr="00C76CA4" w:rsidRDefault="00476459" w:rsidP="00C76CA4">
            <w:pPr>
              <w:widowControl/>
              <w:jc w:val="left"/>
              <w:rPr>
                <w:rFonts w:ascii="Times New Roman" w:eastAsia="幼圆" w:hAnsi="Times New Roman" w:cs="Times New Roman"/>
                <w:sz w:val="18"/>
                <w:szCs w:val="18"/>
              </w:rPr>
            </w:pPr>
            <w:r w:rsidRPr="00C76CA4">
              <w:rPr>
                <w:rFonts w:ascii="Times New Roman" w:eastAsia="幼圆" w:hAnsi="Times New Roman" w:cs="Times New Roman"/>
                <w:sz w:val="18"/>
                <w:szCs w:val="18"/>
              </w:rPr>
              <w:t>药品上市许可持有人制度试点若干问题探讨</w:t>
            </w:r>
          </w:p>
        </w:tc>
      </w:tr>
      <w:tr w:rsidR="00476459" w:rsidRPr="00C76CA4" w:rsidTr="00C76CA4">
        <w:trPr>
          <w:trHeight w:val="139"/>
        </w:trPr>
        <w:tc>
          <w:tcPr>
            <w:tcW w:w="1242" w:type="dxa"/>
          </w:tcPr>
          <w:p w:rsidR="00291353" w:rsidRPr="003F6B55" w:rsidRDefault="00291353" w:rsidP="00C76CA4">
            <w:pPr>
              <w:widowControl/>
              <w:jc w:val="left"/>
              <w:rPr>
                <w:rFonts w:ascii="宋体" w:eastAsia="宋体" w:hAnsi="宋体"/>
                <w:sz w:val="15"/>
                <w:szCs w:val="18"/>
              </w:rPr>
            </w:pPr>
          </w:p>
          <w:p w:rsidR="00291353" w:rsidRPr="003F6B55" w:rsidRDefault="00291353" w:rsidP="00C76CA4">
            <w:pPr>
              <w:widowControl/>
              <w:jc w:val="left"/>
              <w:rPr>
                <w:rFonts w:ascii="宋体" w:eastAsia="宋体" w:hAnsi="宋体"/>
                <w:sz w:val="15"/>
                <w:szCs w:val="18"/>
              </w:rPr>
            </w:pPr>
            <w:r w:rsidRPr="003F6B55">
              <w:rPr>
                <w:rFonts w:ascii="宋体" w:eastAsia="宋体" w:hAnsi="宋体" w:hint="eastAsia"/>
                <w:sz w:val="15"/>
                <w:szCs w:val="18"/>
              </w:rPr>
              <w:t>45min报告</w:t>
            </w:r>
          </w:p>
          <w:p w:rsidR="00476459" w:rsidRPr="003F6B55" w:rsidRDefault="00DE08DC" w:rsidP="00DE08DC">
            <w:pPr>
              <w:widowControl/>
              <w:jc w:val="left"/>
              <w:rPr>
                <w:rFonts w:ascii="宋体" w:eastAsia="宋体" w:hAnsi="宋体"/>
                <w:sz w:val="15"/>
                <w:szCs w:val="18"/>
              </w:rPr>
            </w:pPr>
            <w:r>
              <w:rPr>
                <w:rFonts w:ascii="宋体" w:eastAsia="宋体" w:hAnsi="宋体" w:hint="eastAsia"/>
                <w:sz w:val="15"/>
                <w:szCs w:val="18"/>
              </w:rPr>
              <w:t>10</w:t>
            </w:r>
            <w:r w:rsidR="00291353" w:rsidRPr="003F6B55">
              <w:rPr>
                <w:rFonts w:ascii="宋体" w:eastAsia="宋体" w:hAnsi="宋体" w:hint="eastAsia"/>
                <w:sz w:val="15"/>
                <w:szCs w:val="18"/>
              </w:rPr>
              <w:t>min讨论</w:t>
            </w:r>
          </w:p>
        </w:tc>
        <w:tc>
          <w:tcPr>
            <w:tcW w:w="9440" w:type="dxa"/>
            <w:gridSpan w:val="4"/>
          </w:tcPr>
          <w:p w:rsidR="00476459" w:rsidRPr="00C76CA4" w:rsidRDefault="00476459" w:rsidP="00C76CA4">
            <w:pPr>
              <w:widowControl/>
              <w:spacing w:line="240" w:lineRule="exact"/>
              <w:jc w:val="left"/>
              <w:rPr>
                <w:rFonts w:ascii="仿宋" w:eastAsia="仿宋" w:hAnsi="仿宋"/>
                <w:sz w:val="18"/>
                <w:szCs w:val="18"/>
              </w:rPr>
            </w:pPr>
            <w:r w:rsidRPr="00C76CA4">
              <w:rPr>
                <w:rFonts w:ascii="仿宋" w:eastAsia="仿宋" w:hAnsi="仿宋" w:hint="eastAsia"/>
                <w:sz w:val="18"/>
                <w:szCs w:val="18"/>
              </w:rPr>
              <w:t>陈永法博士，中国药科大学博士生导师、教授。兼任大学党办主任、综合改革办主任。陈教授主要研究领域：医药政策与法规、药品注册管理、药物经济评价。陈教授是江苏省“青蓝工程”学术带头人，兼任中国药品监督管理研究会药品</w:t>
            </w:r>
            <w:proofErr w:type="gramStart"/>
            <w:r w:rsidRPr="00C76CA4">
              <w:rPr>
                <w:rFonts w:ascii="仿宋" w:eastAsia="仿宋" w:hAnsi="仿宋" w:hint="eastAsia"/>
                <w:sz w:val="18"/>
                <w:szCs w:val="18"/>
              </w:rPr>
              <w:t>监管史</w:t>
            </w:r>
            <w:proofErr w:type="gramEnd"/>
            <w:r w:rsidRPr="00C76CA4">
              <w:rPr>
                <w:rFonts w:ascii="仿宋" w:eastAsia="仿宋" w:hAnsi="仿宋" w:hint="eastAsia"/>
                <w:sz w:val="18"/>
                <w:szCs w:val="18"/>
              </w:rPr>
              <w:t>专业委员会副主任委员、中国药学会药事管理专业委员会委员、江苏省医院药事管理委员会副秘书长、江苏省执业药师协会副理事。主持或参与国家社科基金《食品药品安全协同治理的国际比较研究》、国务院《中国药品监管白皮书》、</w:t>
            </w:r>
            <w:proofErr w:type="gramStart"/>
            <w:r w:rsidRPr="00C76CA4">
              <w:rPr>
                <w:rFonts w:ascii="仿宋" w:eastAsia="仿宋" w:hAnsi="仿宋" w:hint="eastAsia"/>
                <w:sz w:val="18"/>
                <w:szCs w:val="18"/>
              </w:rPr>
              <w:t>国家发改委</w:t>
            </w:r>
            <w:proofErr w:type="gramEnd"/>
            <w:r w:rsidRPr="00C76CA4">
              <w:rPr>
                <w:rFonts w:ascii="仿宋" w:eastAsia="仿宋" w:hAnsi="仿宋" w:hint="eastAsia"/>
                <w:sz w:val="18"/>
                <w:szCs w:val="18"/>
              </w:rPr>
              <w:t>《生物制品定价体系研究》、原卫生部《健康中国2020之药品监管政策研究》《国家基本药物制度系列研究》、科技部《医药科技政策研究》、工业与信息化部《药品产业宏观环境分析研究》、国家食品药品监督管理局《发达国家药品监管机构发展趋势研究》等十多项国家纵向课题。主编《国际药事法规》、《药事管理与法规》、《药品注册法律法规》、《药品注册指导原则》《药学综合知识与技能》，副主编《药事法规理论与实务》《医药产业竞争力的国际比较》、《执业药师手册》等教材或专著。在国内外核心期刊发表论文100余篇。</w:t>
            </w:r>
          </w:p>
        </w:tc>
      </w:tr>
      <w:tr w:rsidR="00291353" w:rsidRPr="00C76CA4" w:rsidTr="00C76CA4">
        <w:trPr>
          <w:trHeight w:val="154"/>
        </w:trPr>
        <w:tc>
          <w:tcPr>
            <w:tcW w:w="1242" w:type="dxa"/>
            <w:shd w:val="clear" w:color="auto" w:fill="F2DBDB" w:themeFill="accent2" w:themeFillTint="33"/>
          </w:tcPr>
          <w:p w:rsidR="00291353" w:rsidRPr="00C76CA4" w:rsidRDefault="00DE08DC" w:rsidP="00DE08DC">
            <w:pPr>
              <w:widowControl/>
              <w:jc w:val="left"/>
              <w:rPr>
                <w:rFonts w:ascii="Times New Roman" w:eastAsia="幼圆" w:hAnsi="Times New Roman" w:cs="Times New Roman"/>
                <w:sz w:val="18"/>
                <w:szCs w:val="18"/>
              </w:rPr>
            </w:pPr>
            <w:r>
              <w:rPr>
                <w:rFonts w:ascii="Times New Roman" w:eastAsia="幼圆" w:hAnsi="Times New Roman" w:cs="Times New Roman" w:hint="eastAsia"/>
                <w:sz w:val="18"/>
                <w:szCs w:val="18"/>
              </w:rPr>
              <w:t>14</w:t>
            </w:r>
            <w:r w:rsidR="003F77B1" w:rsidRPr="00C76CA4">
              <w:rPr>
                <w:rFonts w:ascii="Times New Roman" w:eastAsia="幼圆" w:hAnsi="Times New Roman" w:cs="Times New Roman" w:hint="eastAsia"/>
                <w:sz w:val="18"/>
                <w:szCs w:val="18"/>
              </w:rPr>
              <w:t>:</w:t>
            </w:r>
            <w:r>
              <w:rPr>
                <w:rFonts w:ascii="Times New Roman" w:eastAsia="幼圆" w:hAnsi="Times New Roman" w:cs="Times New Roman" w:hint="eastAsia"/>
                <w:sz w:val="18"/>
                <w:szCs w:val="18"/>
              </w:rPr>
              <w:t>30-15</w:t>
            </w:r>
            <w:r w:rsidR="003F77B1" w:rsidRPr="00C76CA4">
              <w:rPr>
                <w:rFonts w:ascii="Times New Roman" w:eastAsia="幼圆" w:hAnsi="Times New Roman" w:cs="Times New Roman" w:hint="eastAsia"/>
                <w:sz w:val="18"/>
                <w:szCs w:val="18"/>
              </w:rPr>
              <w:t>:</w:t>
            </w:r>
            <w:r>
              <w:rPr>
                <w:rFonts w:ascii="Times New Roman" w:eastAsia="幼圆" w:hAnsi="Times New Roman" w:cs="Times New Roman" w:hint="eastAsia"/>
                <w:sz w:val="18"/>
                <w:szCs w:val="18"/>
              </w:rPr>
              <w:t>25</w:t>
            </w:r>
          </w:p>
        </w:tc>
        <w:tc>
          <w:tcPr>
            <w:tcW w:w="2977" w:type="dxa"/>
            <w:gridSpan w:val="3"/>
            <w:shd w:val="clear" w:color="auto" w:fill="F2DBDB" w:themeFill="accent2" w:themeFillTint="33"/>
          </w:tcPr>
          <w:p w:rsidR="00291353" w:rsidRPr="00C76CA4" w:rsidRDefault="00291353" w:rsidP="00C76CA4">
            <w:pPr>
              <w:widowControl/>
              <w:jc w:val="left"/>
              <w:rPr>
                <w:rFonts w:ascii="Times New Roman" w:eastAsia="幼圆" w:hAnsi="Times New Roman" w:cs="Times New Roman"/>
                <w:sz w:val="18"/>
                <w:szCs w:val="18"/>
              </w:rPr>
            </w:pPr>
            <w:r w:rsidRPr="00C76CA4">
              <w:rPr>
                <w:rFonts w:ascii="Times New Roman" w:eastAsia="幼圆" w:hAnsi="Times New Roman" w:cs="Times New Roman" w:hint="eastAsia"/>
                <w:sz w:val="18"/>
                <w:szCs w:val="18"/>
              </w:rPr>
              <w:t>朱敏律师（北京汉坤律师事务所）</w:t>
            </w:r>
          </w:p>
        </w:tc>
        <w:tc>
          <w:tcPr>
            <w:tcW w:w="6463" w:type="dxa"/>
            <w:shd w:val="clear" w:color="auto" w:fill="F2DBDB" w:themeFill="accent2" w:themeFillTint="33"/>
          </w:tcPr>
          <w:p w:rsidR="00291353" w:rsidRPr="00C76CA4" w:rsidRDefault="00291353" w:rsidP="00C76CA4">
            <w:pPr>
              <w:widowControl/>
              <w:jc w:val="left"/>
              <w:rPr>
                <w:rFonts w:ascii="Times New Roman" w:eastAsia="幼圆" w:hAnsi="Times New Roman" w:cs="Times New Roman"/>
                <w:sz w:val="18"/>
                <w:szCs w:val="18"/>
              </w:rPr>
            </w:pPr>
            <w:r w:rsidRPr="00C76CA4">
              <w:rPr>
                <w:rFonts w:ascii="Times New Roman" w:eastAsia="幼圆" w:hAnsi="Times New Roman" w:cs="Times New Roman" w:hint="eastAsia"/>
                <w:sz w:val="18"/>
                <w:szCs w:val="18"/>
              </w:rPr>
              <w:t>MAH</w:t>
            </w:r>
            <w:r w:rsidRPr="00C76CA4">
              <w:rPr>
                <w:rFonts w:ascii="Times New Roman" w:eastAsia="幼圆" w:hAnsi="Times New Roman" w:cs="Times New Roman"/>
                <w:sz w:val="18"/>
                <w:szCs w:val="18"/>
              </w:rPr>
              <w:t>制度的国际比对和中国路径</w:t>
            </w:r>
          </w:p>
        </w:tc>
      </w:tr>
      <w:tr w:rsidR="00291353" w:rsidRPr="00C76CA4" w:rsidTr="00C76CA4">
        <w:trPr>
          <w:trHeight w:val="48"/>
        </w:trPr>
        <w:tc>
          <w:tcPr>
            <w:tcW w:w="1242" w:type="dxa"/>
          </w:tcPr>
          <w:p w:rsidR="00291353" w:rsidRPr="003F6B55" w:rsidRDefault="00291353" w:rsidP="00C76CA4">
            <w:pPr>
              <w:widowControl/>
              <w:jc w:val="left"/>
              <w:rPr>
                <w:rFonts w:ascii="宋体" w:eastAsia="宋体" w:hAnsi="宋体"/>
                <w:sz w:val="15"/>
                <w:szCs w:val="18"/>
              </w:rPr>
            </w:pPr>
          </w:p>
          <w:p w:rsidR="00291353" w:rsidRPr="003F6B55" w:rsidRDefault="00291353" w:rsidP="00C76CA4">
            <w:pPr>
              <w:widowControl/>
              <w:jc w:val="left"/>
              <w:rPr>
                <w:rFonts w:ascii="宋体" w:eastAsia="宋体" w:hAnsi="宋体"/>
                <w:sz w:val="15"/>
                <w:szCs w:val="18"/>
              </w:rPr>
            </w:pPr>
            <w:r w:rsidRPr="003F6B55">
              <w:rPr>
                <w:rFonts w:ascii="宋体" w:eastAsia="宋体" w:hAnsi="宋体" w:hint="eastAsia"/>
                <w:sz w:val="15"/>
                <w:szCs w:val="18"/>
              </w:rPr>
              <w:t>45min报告</w:t>
            </w:r>
          </w:p>
          <w:p w:rsidR="00291353" w:rsidRPr="003F6B55" w:rsidRDefault="00291353" w:rsidP="00C76CA4">
            <w:pPr>
              <w:widowControl/>
              <w:jc w:val="left"/>
              <w:rPr>
                <w:sz w:val="15"/>
                <w:szCs w:val="18"/>
              </w:rPr>
            </w:pPr>
            <w:r w:rsidRPr="003F6B55">
              <w:rPr>
                <w:rFonts w:ascii="宋体" w:eastAsia="宋体" w:hAnsi="宋体" w:hint="eastAsia"/>
                <w:sz w:val="15"/>
                <w:szCs w:val="18"/>
              </w:rPr>
              <w:t>5min讨论</w:t>
            </w:r>
          </w:p>
        </w:tc>
        <w:tc>
          <w:tcPr>
            <w:tcW w:w="9440" w:type="dxa"/>
            <w:gridSpan w:val="4"/>
          </w:tcPr>
          <w:p w:rsidR="00291353" w:rsidRPr="00C76CA4" w:rsidRDefault="00291353" w:rsidP="00C76CA4">
            <w:pPr>
              <w:widowControl/>
              <w:spacing w:line="240" w:lineRule="exact"/>
              <w:jc w:val="left"/>
              <w:rPr>
                <w:rFonts w:ascii="仿宋" w:eastAsia="仿宋" w:hAnsi="仿宋"/>
                <w:sz w:val="18"/>
                <w:szCs w:val="18"/>
              </w:rPr>
            </w:pPr>
            <w:r w:rsidRPr="00C76CA4">
              <w:rPr>
                <w:rFonts w:ascii="仿宋" w:eastAsia="仿宋" w:hAnsi="仿宋" w:hint="eastAsia"/>
                <w:sz w:val="18"/>
                <w:szCs w:val="18"/>
              </w:rPr>
              <w:t>朱敏律师是北京市汉</w:t>
            </w:r>
            <w:proofErr w:type="gramStart"/>
            <w:r w:rsidRPr="00C76CA4">
              <w:rPr>
                <w:rFonts w:ascii="仿宋" w:eastAsia="仿宋" w:hAnsi="仿宋" w:hint="eastAsia"/>
                <w:sz w:val="18"/>
                <w:szCs w:val="18"/>
              </w:rPr>
              <w:t>坤律师</w:t>
            </w:r>
            <w:proofErr w:type="gramEnd"/>
            <w:r w:rsidRPr="00C76CA4">
              <w:rPr>
                <w:rFonts w:ascii="仿宋" w:eastAsia="仿宋" w:hAnsi="仿宋" w:hint="eastAsia"/>
                <w:sz w:val="18"/>
                <w:szCs w:val="18"/>
              </w:rPr>
              <w:t>事务所合伙人。朱敏律师主要的业务领域包括一般公司及商事业务、外商直接投资、兼并和收购、公司重组以及私</w:t>
            </w:r>
            <w:proofErr w:type="gramStart"/>
            <w:r w:rsidRPr="00C76CA4">
              <w:rPr>
                <w:rFonts w:ascii="仿宋" w:eastAsia="仿宋" w:hAnsi="仿宋" w:hint="eastAsia"/>
                <w:sz w:val="18"/>
                <w:szCs w:val="18"/>
              </w:rPr>
              <w:t>募股权</w:t>
            </w:r>
            <w:proofErr w:type="gramEnd"/>
            <w:r w:rsidRPr="00C76CA4">
              <w:rPr>
                <w:rFonts w:ascii="仿宋" w:eastAsia="仿宋" w:hAnsi="仿宋" w:hint="eastAsia"/>
                <w:sz w:val="18"/>
                <w:szCs w:val="18"/>
              </w:rPr>
              <w:t>投资。朱律师曾为数十家跨国公司、外商投资企业和内资公司就它们的设立、境内外投资和争议解决提供过法律服务，尤其是在食品、药品和医疗器械行业的投融资、并购和合</w:t>
            </w:r>
            <w:proofErr w:type="gramStart"/>
            <w:r w:rsidRPr="00C76CA4">
              <w:rPr>
                <w:rFonts w:ascii="仿宋" w:eastAsia="仿宋" w:hAnsi="仿宋" w:hint="eastAsia"/>
                <w:sz w:val="18"/>
                <w:szCs w:val="18"/>
              </w:rPr>
              <w:t>规</w:t>
            </w:r>
            <w:proofErr w:type="gramEnd"/>
            <w:r w:rsidRPr="00C76CA4">
              <w:rPr>
                <w:rFonts w:ascii="仿宋" w:eastAsia="仿宋" w:hAnsi="仿宋" w:hint="eastAsia"/>
                <w:sz w:val="18"/>
                <w:szCs w:val="18"/>
              </w:rPr>
              <w:t>监管等领域具有相当丰富的经验。朱律师曾代表境外医药企业、跨国的食品、药品和医疗器械公司、内资的药品和医疗器械公司以及医药健康领域的专业投资机构处理它们的投融资项目以及日常的合</w:t>
            </w:r>
            <w:proofErr w:type="gramStart"/>
            <w:r w:rsidRPr="00C76CA4">
              <w:rPr>
                <w:rFonts w:ascii="仿宋" w:eastAsia="仿宋" w:hAnsi="仿宋" w:hint="eastAsia"/>
                <w:sz w:val="18"/>
                <w:szCs w:val="18"/>
              </w:rPr>
              <w:t>规</w:t>
            </w:r>
            <w:proofErr w:type="gramEnd"/>
            <w:r w:rsidRPr="00C76CA4">
              <w:rPr>
                <w:rFonts w:ascii="仿宋" w:eastAsia="仿宋" w:hAnsi="仿宋" w:hint="eastAsia"/>
                <w:sz w:val="18"/>
                <w:szCs w:val="18"/>
              </w:rPr>
              <w:t>监管问题。</w:t>
            </w:r>
          </w:p>
        </w:tc>
      </w:tr>
      <w:tr w:rsidR="00291353" w:rsidRPr="00C76CA4" w:rsidTr="00DE08DC">
        <w:trPr>
          <w:trHeight w:val="452"/>
        </w:trPr>
        <w:tc>
          <w:tcPr>
            <w:tcW w:w="1242" w:type="dxa"/>
            <w:shd w:val="clear" w:color="auto" w:fill="EAF1DD" w:themeFill="accent3" w:themeFillTint="33"/>
          </w:tcPr>
          <w:p w:rsidR="00291353" w:rsidRPr="00C76CA4" w:rsidRDefault="00DE08DC" w:rsidP="00DE08DC">
            <w:pPr>
              <w:widowControl/>
              <w:jc w:val="left"/>
              <w:rPr>
                <w:rFonts w:ascii="Times New Roman" w:eastAsia="幼圆" w:hAnsi="Times New Roman" w:cs="Times New Roman"/>
                <w:sz w:val="18"/>
                <w:szCs w:val="18"/>
              </w:rPr>
            </w:pPr>
            <w:r>
              <w:rPr>
                <w:rFonts w:ascii="Times New Roman" w:eastAsia="幼圆" w:hAnsi="Times New Roman" w:cs="Times New Roman" w:hint="eastAsia"/>
                <w:sz w:val="18"/>
                <w:szCs w:val="18"/>
              </w:rPr>
              <w:t>15</w:t>
            </w:r>
            <w:r w:rsidR="00291353" w:rsidRPr="00C76CA4">
              <w:rPr>
                <w:rFonts w:ascii="Times New Roman" w:eastAsia="幼圆" w:hAnsi="Times New Roman" w:cs="Times New Roman" w:hint="eastAsia"/>
                <w:sz w:val="18"/>
                <w:szCs w:val="18"/>
              </w:rPr>
              <w:t>:</w:t>
            </w:r>
            <w:r>
              <w:rPr>
                <w:rFonts w:ascii="Times New Roman" w:eastAsia="幼圆" w:hAnsi="Times New Roman" w:cs="Times New Roman" w:hint="eastAsia"/>
                <w:sz w:val="18"/>
                <w:szCs w:val="18"/>
              </w:rPr>
              <w:t>3</w:t>
            </w:r>
            <w:r w:rsidR="003F77B1" w:rsidRPr="00C76CA4">
              <w:rPr>
                <w:rFonts w:ascii="Times New Roman" w:eastAsia="幼圆" w:hAnsi="Times New Roman" w:cs="Times New Roman" w:hint="eastAsia"/>
                <w:sz w:val="18"/>
                <w:szCs w:val="18"/>
              </w:rPr>
              <w:t>0-</w:t>
            </w:r>
            <w:r>
              <w:rPr>
                <w:rFonts w:ascii="Times New Roman" w:eastAsia="幼圆" w:hAnsi="Times New Roman" w:cs="Times New Roman" w:hint="eastAsia"/>
                <w:sz w:val="18"/>
                <w:szCs w:val="18"/>
              </w:rPr>
              <w:t>16:00</w:t>
            </w:r>
          </w:p>
        </w:tc>
        <w:tc>
          <w:tcPr>
            <w:tcW w:w="9440" w:type="dxa"/>
            <w:gridSpan w:val="4"/>
            <w:shd w:val="clear" w:color="auto" w:fill="EAF1DD" w:themeFill="accent3" w:themeFillTint="33"/>
          </w:tcPr>
          <w:p w:rsidR="00291353" w:rsidRPr="00C76CA4" w:rsidRDefault="003F77B1" w:rsidP="00C76CA4">
            <w:pPr>
              <w:widowControl/>
              <w:jc w:val="left"/>
              <w:rPr>
                <w:rFonts w:ascii="Times New Roman" w:eastAsia="幼圆" w:hAnsi="Times New Roman" w:cs="Times New Roman"/>
                <w:sz w:val="18"/>
                <w:szCs w:val="18"/>
              </w:rPr>
            </w:pPr>
            <w:proofErr w:type="gramStart"/>
            <w:r w:rsidRPr="00C76CA4">
              <w:rPr>
                <w:rFonts w:ascii="幼圆" w:eastAsia="幼圆" w:hint="eastAsia"/>
                <w:b/>
                <w:szCs w:val="18"/>
              </w:rPr>
              <w:t>茶歇</w:t>
            </w:r>
            <w:proofErr w:type="gramEnd"/>
            <w:r w:rsidR="00C76CA4" w:rsidRPr="00C76CA4">
              <w:rPr>
                <w:rFonts w:ascii="幼圆" w:eastAsia="幼圆" w:hint="eastAsia"/>
                <w:b/>
                <w:szCs w:val="18"/>
              </w:rPr>
              <w:t xml:space="preserve">                             </w:t>
            </w:r>
            <w:r w:rsidRPr="00C76CA4">
              <w:rPr>
                <w:rFonts w:ascii="幼圆" w:eastAsia="幼圆" w:hint="eastAsia"/>
                <w:b/>
                <w:szCs w:val="18"/>
              </w:rPr>
              <w:t>沟通交流、制药工程仪器、设备展览</w:t>
            </w:r>
          </w:p>
        </w:tc>
      </w:tr>
      <w:tr w:rsidR="003F77B1" w:rsidRPr="00C76CA4" w:rsidTr="00C76CA4">
        <w:trPr>
          <w:trHeight w:val="70"/>
        </w:trPr>
        <w:tc>
          <w:tcPr>
            <w:tcW w:w="1242" w:type="dxa"/>
            <w:shd w:val="clear" w:color="auto" w:fill="F2DBDB" w:themeFill="accent2" w:themeFillTint="33"/>
          </w:tcPr>
          <w:p w:rsidR="003F77B1" w:rsidRPr="00C76CA4" w:rsidRDefault="003F77B1" w:rsidP="00DE08DC">
            <w:pPr>
              <w:widowControl/>
              <w:jc w:val="left"/>
              <w:rPr>
                <w:sz w:val="18"/>
                <w:szCs w:val="18"/>
              </w:rPr>
            </w:pPr>
            <w:r w:rsidRPr="00C76CA4">
              <w:rPr>
                <w:rFonts w:hint="eastAsia"/>
                <w:sz w:val="18"/>
                <w:szCs w:val="18"/>
              </w:rPr>
              <w:t>16:</w:t>
            </w:r>
            <w:r w:rsidR="00DE08DC">
              <w:rPr>
                <w:rFonts w:hint="eastAsia"/>
                <w:sz w:val="18"/>
                <w:szCs w:val="18"/>
              </w:rPr>
              <w:t>0</w:t>
            </w:r>
            <w:r w:rsidRPr="00C76CA4">
              <w:rPr>
                <w:rFonts w:hint="eastAsia"/>
                <w:sz w:val="18"/>
                <w:szCs w:val="18"/>
              </w:rPr>
              <w:t>0-17:00</w:t>
            </w:r>
          </w:p>
        </w:tc>
        <w:tc>
          <w:tcPr>
            <w:tcW w:w="9440" w:type="dxa"/>
            <w:gridSpan w:val="4"/>
            <w:shd w:val="clear" w:color="auto" w:fill="F2DBDB" w:themeFill="accent2" w:themeFillTint="33"/>
          </w:tcPr>
          <w:p w:rsidR="003F77B1" w:rsidRPr="00C76CA4" w:rsidRDefault="003F77B1" w:rsidP="00C76CA4">
            <w:pPr>
              <w:widowControl/>
              <w:jc w:val="left"/>
              <w:rPr>
                <w:sz w:val="18"/>
                <w:szCs w:val="18"/>
              </w:rPr>
            </w:pPr>
          </w:p>
        </w:tc>
      </w:tr>
    </w:tbl>
    <w:p w:rsidR="00CE4975" w:rsidRPr="003F77B1" w:rsidRDefault="00CE4975" w:rsidP="00CE4975">
      <w:bookmarkStart w:id="0" w:name="_GoBack"/>
      <w:bookmarkEnd w:id="0"/>
    </w:p>
    <w:sectPr w:rsidR="00CE4975" w:rsidRPr="003F77B1" w:rsidSect="00840FE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76AB"/>
    <w:rsid w:val="0003083B"/>
    <w:rsid w:val="00036B2C"/>
    <w:rsid w:val="00037807"/>
    <w:rsid w:val="00090973"/>
    <w:rsid w:val="000B1777"/>
    <w:rsid w:val="000B70AD"/>
    <w:rsid w:val="00146765"/>
    <w:rsid w:val="001C54F6"/>
    <w:rsid w:val="00205E38"/>
    <w:rsid w:val="00210B24"/>
    <w:rsid w:val="00232451"/>
    <w:rsid w:val="00234291"/>
    <w:rsid w:val="00234549"/>
    <w:rsid w:val="002661B6"/>
    <w:rsid w:val="00276FF1"/>
    <w:rsid w:val="00277DB1"/>
    <w:rsid w:val="0028521E"/>
    <w:rsid w:val="00291353"/>
    <w:rsid w:val="002A74F2"/>
    <w:rsid w:val="002E52C7"/>
    <w:rsid w:val="00300195"/>
    <w:rsid w:val="003F6B55"/>
    <w:rsid w:val="003F77B1"/>
    <w:rsid w:val="003F7D1B"/>
    <w:rsid w:val="00412F20"/>
    <w:rsid w:val="00444C92"/>
    <w:rsid w:val="00476459"/>
    <w:rsid w:val="00496998"/>
    <w:rsid w:val="0058261D"/>
    <w:rsid w:val="005D4324"/>
    <w:rsid w:val="0061550B"/>
    <w:rsid w:val="00672F66"/>
    <w:rsid w:val="006838A3"/>
    <w:rsid w:val="006A4B55"/>
    <w:rsid w:val="006C35AE"/>
    <w:rsid w:val="00734FE0"/>
    <w:rsid w:val="007E4F39"/>
    <w:rsid w:val="007F54B5"/>
    <w:rsid w:val="00811D30"/>
    <w:rsid w:val="00840FED"/>
    <w:rsid w:val="00946114"/>
    <w:rsid w:val="00963700"/>
    <w:rsid w:val="009A6963"/>
    <w:rsid w:val="00A00615"/>
    <w:rsid w:val="00A176AB"/>
    <w:rsid w:val="00A60D95"/>
    <w:rsid w:val="00A73FB7"/>
    <w:rsid w:val="00AA1889"/>
    <w:rsid w:val="00AB68A7"/>
    <w:rsid w:val="00AD2091"/>
    <w:rsid w:val="00AE31F3"/>
    <w:rsid w:val="00B36A99"/>
    <w:rsid w:val="00BA3AB1"/>
    <w:rsid w:val="00C528DC"/>
    <w:rsid w:val="00C54374"/>
    <w:rsid w:val="00C63477"/>
    <w:rsid w:val="00C76CA4"/>
    <w:rsid w:val="00CE14DD"/>
    <w:rsid w:val="00CE4975"/>
    <w:rsid w:val="00D80032"/>
    <w:rsid w:val="00D875BC"/>
    <w:rsid w:val="00DD6159"/>
    <w:rsid w:val="00DE08DC"/>
    <w:rsid w:val="00DF28C1"/>
    <w:rsid w:val="00E25C1E"/>
    <w:rsid w:val="00E92C22"/>
    <w:rsid w:val="00F822E6"/>
    <w:rsid w:val="00F849C9"/>
    <w:rsid w:val="00FF2571"/>
    <w:rsid w:val="00FF3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E4975"/>
    <w:pPr>
      <w:widowControl/>
      <w:tabs>
        <w:tab w:val="left" w:pos="2977"/>
      </w:tabs>
      <w:ind w:left="2977"/>
      <w:jc w:val="left"/>
    </w:pPr>
    <w:rPr>
      <w:rFonts w:ascii="Arial" w:hAnsi="Arial" w:cs="Times New Roman"/>
      <w:kern w:val="0"/>
      <w:sz w:val="22"/>
      <w:szCs w:val="20"/>
      <w:lang w:val="de-DE" w:eastAsia="de-DE"/>
    </w:rPr>
  </w:style>
  <w:style w:type="character" w:customStyle="1" w:styleId="Char">
    <w:name w:val="正文文本缩进 Char"/>
    <w:basedOn w:val="a0"/>
    <w:link w:val="a3"/>
    <w:rsid w:val="00CE4975"/>
    <w:rPr>
      <w:rFonts w:ascii="Arial" w:hAnsi="Arial" w:cs="Times New Roman"/>
      <w:kern w:val="0"/>
      <w:sz w:val="22"/>
      <w:szCs w:val="20"/>
      <w:lang w:val="de-DE" w:eastAsia="de-DE"/>
    </w:rPr>
  </w:style>
  <w:style w:type="table" w:styleId="a4">
    <w:name w:val="Table Grid"/>
    <w:basedOn w:val="a1"/>
    <w:uiPriority w:val="59"/>
    <w:rsid w:val="000B7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92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WT_1965</dc:creator>
  <cp:lastModifiedBy>Windows 用户</cp:lastModifiedBy>
  <cp:revision>5</cp:revision>
  <cp:lastPrinted>2016-09-24T05:15:00Z</cp:lastPrinted>
  <dcterms:created xsi:type="dcterms:W3CDTF">2016-09-24T05:15:00Z</dcterms:created>
  <dcterms:modified xsi:type="dcterms:W3CDTF">2016-09-27T04:59:00Z</dcterms:modified>
</cp:coreProperties>
</file>